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A7" w:rsidRPr="00696EA7" w:rsidRDefault="00456598" w:rsidP="00696EA7">
      <w:pPr>
        <w:jc w:val="center"/>
        <w:rPr>
          <w:rFonts w:ascii="Calibri" w:eastAsia="Calibri" w:hAnsi="Calibri" w:cs="Arial"/>
          <w:b/>
          <w:sz w:val="24"/>
          <w:szCs w:val="24"/>
        </w:rPr>
      </w:pPr>
      <w:r w:rsidRPr="00456598">
        <w:rPr>
          <w:rFonts w:ascii="Arial" w:eastAsia="Calibri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3E608" wp14:editId="189C707D">
                <wp:simplePos x="0" y="0"/>
                <wp:positionH relativeFrom="column">
                  <wp:posOffset>4818490</wp:posOffset>
                </wp:positionH>
                <wp:positionV relativeFrom="paragraph">
                  <wp:posOffset>-580444</wp:posOffset>
                </wp:positionV>
                <wp:extent cx="1327868" cy="357808"/>
                <wp:effectExtent l="0" t="0" r="2476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8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598" w:rsidRPr="00456598" w:rsidRDefault="00456598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456598"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Annexure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-45.7pt;width:104.5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">
                <v:textbox>
                  <w:txbxContent>
                    <w:p w:rsidR="00456598" w:rsidRPr="00456598" w:rsidRDefault="00456598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456598"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>Annexure A</w:t>
                      </w:r>
                    </w:p>
                  </w:txbxContent>
                </v:textbox>
              </v:shape>
            </w:pict>
          </mc:Fallback>
        </mc:AlternateContent>
      </w:r>
      <w:r w:rsidR="0091293D" w:rsidRPr="00CB38C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950202" wp14:editId="287ABF26">
            <wp:simplePos x="0" y="0"/>
            <wp:positionH relativeFrom="margin">
              <wp:posOffset>1746250</wp:posOffset>
            </wp:positionH>
            <wp:positionV relativeFrom="margin">
              <wp:posOffset>-127000</wp:posOffset>
            </wp:positionV>
            <wp:extent cx="2641600" cy="1063625"/>
            <wp:effectExtent l="0" t="0" r="0" b="0"/>
            <wp:wrapSquare wrapText="bothSides"/>
            <wp:docPr id="4" name="Picture 4" descr="White FSCA Logo Black With Writing Transparent Backgroun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FSCA Logo Black With Writing Transparent Background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0" t="25328" r="16273" b="25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EA7" w:rsidRPr="00696EA7" w:rsidRDefault="00696EA7" w:rsidP="00696EA7">
      <w:pPr>
        <w:jc w:val="center"/>
        <w:rPr>
          <w:rFonts w:ascii="Calibri" w:eastAsia="Calibri" w:hAnsi="Calibri" w:cs="Arial"/>
          <w:b/>
          <w:sz w:val="24"/>
          <w:szCs w:val="24"/>
        </w:rPr>
      </w:pPr>
    </w:p>
    <w:p w:rsidR="0091293D" w:rsidRDefault="0091293D" w:rsidP="00696EA7">
      <w:pPr>
        <w:jc w:val="center"/>
        <w:rPr>
          <w:rFonts w:ascii="Arial" w:eastAsia="Calibri" w:hAnsi="Arial" w:cs="Arial"/>
          <w:b/>
        </w:rPr>
      </w:pPr>
    </w:p>
    <w:p w:rsidR="0091293D" w:rsidRDefault="0091293D" w:rsidP="00696EA7">
      <w:pPr>
        <w:jc w:val="center"/>
        <w:rPr>
          <w:rFonts w:ascii="Arial" w:eastAsia="Calibri" w:hAnsi="Arial" w:cs="Arial"/>
          <w:b/>
        </w:rPr>
      </w:pPr>
    </w:p>
    <w:p w:rsidR="00696EA7" w:rsidRPr="00696EA7" w:rsidRDefault="00696EA7" w:rsidP="00696EA7">
      <w:pPr>
        <w:jc w:val="center"/>
        <w:rPr>
          <w:rFonts w:ascii="Arial" w:eastAsia="Calibri" w:hAnsi="Arial" w:cs="Arial"/>
          <w:b/>
        </w:rPr>
      </w:pPr>
      <w:r w:rsidRPr="00696EA7">
        <w:rPr>
          <w:rFonts w:ascii="Arial" w:eastAsia="Calibri" w:hAnsi="Arial" w:cs="Arial"/>
          <w:b/>
        </w:rPr>
        <w:t>PF</w:t>
      </w:r>
      <w:r w:rsidR="00105E30">
        <w:rPr>
          <w:rFonts w:ascii="Arial" w:eastAsia="Calibri" w:hAnsi="Arial" w:cs="Arial"/>
          <w:b/>
        </w:rPr>
        <w:t>A</w:t>
      </w:r>
      <w:r w:rsidRPr="00696EA7">
        <w:rPr>
          <w:rFonts w:ascii="Arial" w:eastAsia="Calibri" w:hAnsi="Arial" w:cs="Arial"/>
          <w:b/>
        </w:rPr>
        <w:t xml:space="preserve"> </w:t>
      </w:r>
      <w:r w:rsidR="00E80DAA">
        <w:rPr>
          <w:rFonts w:ascii="Arial" w:eastAsia="Calibri" w:hAnsi="Arial" w:cs="Arial"/>
          <w:b/>
        </w:rPr>
        <w:t xml:space="preserve">DRAFT </w:t>
      </w:r>
      <w:r w:rsidRPr="00696EA7">
        <w:rPr>
          <w:rFonts w:ascii="Arial" w:eastAsia="Calibri" w:hAnsi="Arial" w:cs="Arial"/>
          <w:b/>
        </w:rPr>
        <w:t xml:space="preserve">CONDUCT STANDARD </w:t>
      </w:r>
      <w:r w:rsidR="00610521">
        <w:rPr>
          <w:rFonts w:ascii="Arial" w:eastAsia="Calibri" w:hAnsi="Arial" w:cs="Arial"/>
          <w:b/>
        </w:rPr>
        <w:t>O</w:t>
      </w:r>
      <w:r w:rsidRPr="00696EA7">
        <w:rPr>
          <w:rFonts w:ascii="Arial" w:eastAsia="Calibri" w:hAnsi="Arial" w:cs="Arial"/>
          <w:b/>
        </w:rPr>
        <w:t>F 2018</w:t>
      </w:r>
    </w:p>
    <w:p w:rsidR="00696EA7" w:rsidRPr="00696EA7" w:rsidRDefault="00696EA7" w:rsidP="00696EA7">
      <w:pPr>
        <w:jc w:val="center"/>
        <w:rPr>
          <w:rFonts w:ascii="Arial" w:eastAsia="Calibri" w:hAnsi="Arial" w:cs="Arial"/>
          <w:b/>
        </w:rPr>
      </w:pPr>
      <w:r w:rsidRPr="00696EA7">
        <w:rPr>
          <w:rFonts w:ascii="Arial" w:eastAsia="Calibri" w:hAnsi="Arial" w:cs="Arial"/>
          <w:b/>
        </w:rPr>
        <w:t>PENSION FUNDS ACT, NO. 24 OF 1956</w:t>
      </w:r>
      <w:bookmarkStart w:id="0" w:name="_GoBack"/>
      <w:bookmarkEnd w:id="0"/>
    </w:p>
    <w:p w:rsidR="00CC2253" w:rsidRPr="00696EA7" w:rsidRDefault="00CC2253" w:rsidP="00CC2253">
      <w:pPr>
        <w:tabs>
          <w:tab w:val="left" w:pos="2392"/>
        </w:tabs>
        <w:jc w:val="center"/>
        <w:rPr>
          <w:rFonts w:ascii="Arial" w:hAnsi="Arial" w:cs="Arial"/>
          <w:b/>
        </w:rPr>
      </w:pPr>
    </w:p>
    <w:p w:rsidR="00CC2253" w:rsidRPr="00696EA7" w:rsidRDefault="00E80DAA" w:rsidP="00CC2253">
      <w:pPr>
        <w:tabs>
          <w:tab w:val="left" w:pos="239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CC2253" w:rsidRPr="00696EA7">
        <w:rPr>
          <w:rFonts w:ascii="Arial" w:hAnsi="Arial" w:cs="Arial"/>
          <w:b/>
        </w:rPr>
        <w:t>CRITERIA FOR LIVING ANNUITIES IN A DEFAULT ANNUITY STRATEGY</w:t>
      </w:r>
    </w:p>
    <w:p w:rsidR="00CC2253" w:rsidRPr="00696EA7" w:rsidRDefault="00CC2253" w:rsidP="00CC2253">
      <w:pPr>
        <w:tabs>
          <w:tab w:val="left" w:pos="2392"/>
        </w:tabs>
        <w:jc w:val="center"/>
        <w:rPr>
          <w:rFonts w:ascii="Arial" w:hAnsi="Arial" w:cs="Arial"/>
          <w:b/>
        </w:rPr>
      </w:pPr>
    </w:p>
    <w:p w:rsidR="00CC2253" w:rsidRPr="000962DC" w:rsidRDefault="00CC2253" w:rsidP="0091293D">
      <w:pPr>
        <w:tabs>
          <w:tab w:val="left" w:pos="626"/>
        </w:tabs>
        <w:spacing w:after="0"/>
        <w:ind w:left="-180"/>
        <w:jc w:val="both"/>
        <w:rPr>
          <w:rFonts w:ascii="Arial" w:hAnsi="Arial" w:cs="Arial"/>
        </w:rPr>
      </w:pPr>
      <w:r w:rsidRPr="000962DC">
        <w:rPr>
          <w:rFonts w:ascii="Arial" w:hAnsi="Arial" w:cs="Arial"/>
        </w:rPr>
        <w:t xml:space="preserve">The Financial Sector </w:t>
      </w:r>
      <w:r w:rsidR="0091293D">
        <w:rPr>
          <w:rFonts w:ascii="Arial" w:hAnsi="Arial" w:cs="Arial"/>
        </w:rPr>
        <w:t xml:space="preserve">Conduct Authority hereby, in terms of </w:t>
      </w:r>
      <w:r w:rsidR="0091293D" w:rsidRPr="0091293D">
        <w:rPr>
          <w:rFonts w:ascii="Arial" w:hAnsi="Arial" w:cs="Arial"/>
        </w:rPr>
        <w:t>Regulation 39</w:t>
      </w:r>
      <w:r w:rsidR="006B2BA6">
        <w:rPr>
          <w:rFonts w:ascii="Arial" w:hAnsi="Arial" w:cs="Arial"/>
        </w:rPr>
        <w:t>(3),</w:t>
      </w:r>
      <w:r w:rsidR="0091293D" w:rsidRPr="0091293D">
        <w:rPr>
          <w:rFonts w:ascii="Arial" w:hAnsi="Arial" w:cs="Arial"/>
        </w:rPr>
        <w:t xml:space="preserve"> </w:t>
      </w:r>
      <w:r w:rsidR="006B2BA6">
        <w:rPr>
          <w:rFonts w:ascii="Arial" w:hAnsi="Arial" w:cs="Arial"/>
        </w:rPr>
        <w:t xml:space="preserve">read with </w:t>
      </w:r>
      <w:r w:rsidR="006B2BA6" w:rsidRPr="0091293D">
        <w:rPr>
          <w:rFonts w:ascii="Arial" w:hAnsi="Arial" w:cs="Arial"/>
        </w:rPr>
        <w:t>the definition of ‘annuity strategy</w:t>
      </w:r>
      <w:r w:rsidR="00ED07D4">
        <w:rPr>
          <w:rFonts w:ascii="Arial" w:hAnsi="Arial" w:cs="Arial"/>
        </w:rPr>
        <w:t>’</w:t>
      </w:r>
      <w:r w:rsidR="006B2BA6">
        <w:rPr>
          <w:rFonts w:ascii="Arial" w:hAnsi="Arial" w:cs="Arial"/>
        </w:rPr>
        <w:t>,</w:t>
      </w:r>
      <w:r w:rsidR="006B2BA6" w:rsidRPr="0091293D">
        <w:rPr>
          <w:rFonts w:ascii="Arial" w:hAnsi="Arial" w:cs="Arial"/>
        </w:rPr>
        <w:t xml:space="preserve"> </w:t>
      </w:r>
      <w:r w:rsidR="006B2BA6">
        <w:rPr>
          <w:rFonts w:ascii="Arial" w:hAnsi="Arial" w:cs="Arial"/>
        </w:rPr>
        <w:t>in</w:t>
      </w:r>
      <w:r w:rsidR="0091293D" w:rsidRPr="0091293D">
        <w:rPr>
          <w:rFonts w:ascii="Arial" w:hAnsi="Arial" w:cs="Arial"/>
        </w:rPr>
        <w:t xml:space="preserve"> the Regulations made in terms of section 36 of the Pension Funds Act</w:t>
      </w:r>
      <w:r w:rsidR="00FA6E16">
        <w:rPr>
          <w:rFonts w:ascii="Arial" w:hAnsi="Arial" w:cs="Arial"/>
        </w:rPr>
        <w:t>,</w:t>
      </w:r>
      <w:r w:rsidR="00FA6E16" w:rsidRPr="00FA6E16">
        <w:t xml:space="preserve"> </w:t>
      </w:r>
      <w:r w:rsidR="00FA6E16" w:rsidRPr="0091293D">
        <w:rPr>
          <w:rFonts w:ascii="Arial" w:hAnsi="Arial" w:cs="Arial"/>
        </w:rPr>
        <w:t>1956</w:t>
      </w:r>
      <w:r w:rsidR="00FA6E16">
        <w:rPr>
          <w:rFonts w:ascii="Arial" w:hAnsi="Arial" w:cs="Arial"/>
        </w:rPr>
        <w:t xml:space="preserve"> </w:t>
      </w:r>
      <w:r w:rsidR="000E2525">
        <w:rPr>
          <w:rFonts w:ascii="Arial" w:hAnsi="Arial" w:cs="Arial"/>
        </w:rPr>
        <w:t xml:space="preserve">(Act No. 24 of 1956) </w:t>
      </w:r>
      <w:r w:rsidR="00FA6E16" w:rsidRPr="00FA6E16">
        <w:rPr>
          <w:rFonts w:ascii="Arial" w:hAnsi="Arial" w:cs="Arial"/>
        </w:rPr>
        <w:t>and section</w:t>
      </w:r>
      <w:r w:rsidR="00E80DAA">
        <w:rPr>
          <w:rFonts w:ascii="Arial" w:hAnsi="Arial" w:cs="Arial"/>
        </w:rPr>
        <w:t xml:space="preserve"> 98(1) </w:t>
      </w:r>
      <w:r w:rsidR="00FA6E16" w:rsidRPr="00FA6E16">
        <w:rPr>
          <w:rFonts w:ascii="Arial" w:hAnsi="Arial" w:cs="Arial"/>
        </w:rPr>
        <w:t>of the Financial Sector Regulation Act, 2017</w:t>
      </w:r>
      <w:r w:rsidR="00E80DAA">
        <w:rPr>
          <w:rFonts w:ascii="Arial" w:hAnsi="Arial" w:cs="Arial"/>
        </w:rPr>
        <w:t xml:space="preserve"> (Act No. 9 of 2017)</w:t>
      </w:r>
      <w:r w:rsidR="00FA6E16" w:rsidRPr="00FA6E16">
        <w:rPr>
          <w:rFonts w:ascii="Arial" w:hAnsi="Arial" w:cs="Arial"/>
        </w:rPr>
        <w:t>,</w:t>
      </w:r>
      <w:r w:rsidR="0091293D">
        <w:rPr>
          <w:rFonts w:ascii="Arial" w:hAnsi="Arial" w:cs="Arial"/>
        </w:rPr>
        <w:t xml:space="preserve"> </w:t>
      </w:r>
      <w:r w:rsidR="00E80DAA">
        <w:rPr>
          <w:rFonts w:ascii="Arial" w:hAnsi="Arial" w:cs="Arial"/>
        </w:rPr>
        <w:t xml:space="preserve">publish for public comment </w:t>
      </w:r>
      <w:r w:rsidR="00F63D73">
        <w:rPr>
          <w:rFonts w:ascii="Arial" w:hAnsi="Arial" w:cs="Arial"/>
        </w:rPr>
        <w:t xml:space="preserve">the </w:t>
      </w:r>
      <w:r w:rsidR="00E80DAA">
        <w:rPr>
          <w:rFonts w:ascii="Arial" w:hAnsi="Arial" w:cs="Arial"/>
        </w:rPr>
        <w:t xml:space="preserve">draft </w:t>
      </w:r>
      <w:r w:rsidR="0091293D">
        <w:rPr>
          <w:rFonts w:ascii="Arial" w:hAnsi="Arial" w:cs="Arial"/>
        </w:rPr>
        <w:t>criteria for living annuities in a default annuity strategy as set out in this S</w:t>
      </w:r>
      <w:r w:rsidR="001F1D06">
        <w:rPr>
          <w:rFonts w:ascii="Arial" w:hAnsi="Arial" w:cs="Arial"/>
        </w:rPr>
        <w:t>chedule</w:t>
      </w:r>
      <w:r w:rsidR="0091293D">
        <w:rPr>
          <w:rFonts w:ascii="Arial" w:hAnsi="Arial" w:cs="Arial"/>
        </w:rPr>
        <w:t>.</w:t>
      </w:r>
    </w:p>
    <w:p w:rsidR="00CC2253" w:rsidRPr="000962DC" w:rsidRDefault="00CC2253" w:rsidP="00401A75">
      <w:pPr>
        <w:tabs>
          <w:tab w:val="left" w:pos="626"/>
        </w:tabs>
        <w:spacing w:after="0"/>
        <w:ind w:left="-180"/>
        <w:jc w:val="both"/>
        <w:rPr>
          <w:rFonts w:ascii="Arial" w:hAnsi="Arial" w:cs="Arial"/>
        </w:rPr>
      </w:pPr>
    </w:p>
    <w:p w:rsidR="00CC2253" w:rsidRDefault="00CC2253" w:rsidP="00CC2253">
      <w:pPr>
        <w:tabs>
          <w:tab w:val="left" w:pos="626"/>
        </w:tabs>
        <w:ind w:left="-180"/>
        <w:jc w:val="both"/>
        <w:rPr>
          <w:rFonts w:ascii="Arial" w:hAnsi="Arial" w:cs="Arial"/>
        </w:rPr>
      </w:pPr>
    </w:p>
    <w:p w:rsidR="00CC2253" w:rsidRPr="000962DC" w:rsidRDefault="00CC2253" w:rsidP="00CC2253">
      <w:pPr>
        <w:tabs>
          <w:tab w:val="left" w:pos="626"/>
        </w:tabs>
        <w:ind w:left="-180"/>
        <w:jc w:val="both"/>
        <w:rPr>
          <w:rFonts w:ascii="Arial" w:hAnsi="Arial" w:cs="Arial"/>
        </w:rPr>
      </w:pPr>
    </w:p>
    <w:p w:rsidR="00CC2253" w:rsidRDefault="00CC2253" w:rsidP="00CC2253">
      <w:pPr>
        <w:tabs>
          <w:tab w:val="left" w:pos="626"/>
        </w:tabs>
        <w:ind w:left="-180"/>
        <w:jc w:val="both"/>
        <w:rPr>
          <w:rFonts w:ascii="Arial" w:hAnsi="Arial" w:cs="Arial"/>
        </w:rPr>
      </w:pPr>
    </w:p>
    <w:p w:rsidR="00401A75" w:rsidRPr="000962DC" w:rsidRDefault="00401A75" w:rsidP="00CC2253">
      <w:pPr>
        <w:tabs>
          <w:tab w:val="left" w:pos="626"/>
        </w:tabs>
        <w:ind w:left="-180"/>
        <w:jc w:val="both"/>
        <w:rPr>
          <w:rFonts w:ascii="Arial" w:hAnsi="Arial" w:cs="Arial"/>
        </w:rPr>
      </w:pPr>
    </w:p>
    <w:p w:rsidR="00D53BA2" w:rsidRPr="00D53BA2" w:rsidRDefault="00D53BA2" w:rsidP="00D53BA2">
      <w:pPr>
        <w:tabs>
          <w:tab w:val="left" w:pos="626"/>
        </w:tabs>
        <w:ind w:left="-180"/>
        <w:jc w:val="both"/>
        <w:rPr>
          <w:rFonts w:ascii="Arial" w:hAnsi="Arial" w:cs="Arial"/>
          <w:b/>
        </w:rPr>
      </w:pPr>
      <w:r w:rsidRPr="00D53BA2">
        <w:rPr>
          <w:rFonts w:ascii="Arial" w:hAnsi="Arial" w:cs="Arial"/>
          <w:b/>
        </w:rPr>
        <w:t>ABEL MOFFAT SITHOLE</w:t>
      </w:r>
    </w:p>
    <w:p w:rsidR="00CC2253" w:rsidRDefault="00D53BA2" w:rsidP="00D53BA2">
      <w:pPr>
        <w:tabs>
          <w:tab w:val="left" w:pos="626"/>
        </w:tabs>
        <w:ind w:left="-180"/>
        <w:jc w:val="both"/>
        <w:rPr>
          <w:rFonts w:ascii="Arial" w:hAnsi="Arial" w:cs="Arial"/>
          <w:b/>
        </w:rPr>
      </w:pPr>
      <w:r w:rsidRPr="00D53BA2">
        <w:rPr>
          <w:rFonts w:ascii="Arial" w:hAnsi="Arial" w:cs="Arial"/>
          <w:b/>
        </w:rPr>
        <w:t>For THE FINANCIAL SECTOR CONDUCT AUTHORITY</w:t>
      </w:r>
    </w:p>
    <w:p w:rsidR="006E5EBC" w:rsidRPr="000962DC" w:rsidRDefault="006E5EBC" w:rsidP="00D53BA2">
      <w:pPr>
        <w:tabs>
          <w:tab w:val="left" w:pos="626"/>
        </w:tabs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:rsidR="00B22703" w:rsidRPr="00DD0E78" w:rsidRDefault="00B22703" w:rsidP="00B22703">
      <w:pPr>
        <w:spacing w:line="360" w:lineRule="auto"/>
        <w:rPr>
          <w:b/>
          <w:bCs/>
          <w:caps/>
        </w:rPr>
      </w:pPr>
    </w:p>
    <w:p w:rsidR="00CC2253" w:rsidRDefault="00CC2253" w:rsidP="00B22703">
      <w:pPr>
        <w:rPr>
          <w:b/>
        </w:rPr>
        <w:sectPr w:rsidR="00CC2253" w:rsidSect="00CC22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22703" w:rsidRDefault="00B22703" w:rsidP="00B22703">
      <w:pPr>
        <w:rPr>
          <w:b/>
        </w:rPr>
      </w:pPr>
    </w:p>
    <w:p w:rsidR="00D40E18" w:rsidRDefault="0091293D" w:rsidP="0091293D">
      <w:pPr>
        <w:ind w:left="-180"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SCHEDULE</w:t>
      </w:r>
    </w:p>
    <w:p w:rsidR="0091293D" w:rsidRPr="000962DC" w:rsidRDefault="0091293D" w:rsidP="0091293D">
      <w:pPr>
        <w:ind w:left="-180"/>
        <w:jc w:val="center"/>
        <w:rPr>
          <w:rFonts w:ascii="Arial" w:hAnsi="Arial" w:cs="Arial"/>
          <w:b/>
          <w:spacing w:val="40"/>
        </w:rPr>
      </w:pPr>
    </w:p>
    <w:p w:rsidR="00F16BB8" w:rsidRPr="00F16BB8" w:rsidRDefault="00B22703" w:rsidP="00F16BB8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Definitions</w:t>
      </w:r>
    </w:p>
    <w:p w:rsidR="00B22703" w:rsidRDefault="00B22703" w:rsidP="00DC47D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this </w:t>
      </w:r>
      <w:r w:rsidR="000E2525">
        <w:rPr>
          <w:rFonts w:ascii="Arial" w:hAnsi="Arial" w:cs="Arial"/>
        </w:rPr>
        <w:t>Schedule</w:t>
      </w:r>
      <w:r>
        <w:rPr>
          <w:rFonts w:ascii="Arial" w:hAnsi="Arial" w:cs="Arial"/>
        </w:rPr>
        <w:t>, “the Act” means the Pension Funds Act, 1956</w:t>
      </w:r>
      <w:r w:rsidR="000E2525">
        <w:rPr>
          <w:rFonts w:ascii="Arial" w:hAnsi="Arial" w:cs="Arial"/>
        </w:rPr>
        <w:t xml:space="preserve"> (Act No. 24 of 1956)</w:t>
      </w:r>
      <w:r w:rsidR="004B1FFA">
        <w:rPr>
          <w:rFonts w:ascii="Arial" w:hAnsi="Arial" w:cs="Arial"/>
        </w:rPr>
        <w:t xml:space="preserve">, and </w:t>
      </w:r>
      <w:r w:rsidR="00F63D73">
        <w:rPr>
          <w:rFonts w:ascii="Arial" w:hAnsi="Arial" w:cs="Arial"/>
        </w:rPr>
        <w:t>“</w:t>
      </w:r>
      <w:r w:rsidR="004B1FFA">
        <w:rPr>
          <w:rFonts w:ascii="Arial" w:hAnsi="Arial" w:cs="Arial"/>
        </w:rPr>
        <w:t>the Regulations</w:t>
      </w:r>
      <w:r w:rsidR="00F63D73">
        <w:rPr>
          <w:rFonts w:ascii="Arial" w:hAnsi="Arial" w:cs="Arial"/>
        </w:rPr>
        <w:t>”</w:t>
      </w:r>
      <w:r w:rsidR="004B1FFA">
        <w:rPr>
          <w:rFonts w:ascii="Arial" w:hAnsi="Arial" w:cs="Arial"/>
        </w:rPr>
        <w:t xml:space="preserve"> mean the Regulations ma</w:t>
      </w:r>
      <w:r w:rsidR="00121A01">
        <w:rPr>
          <w:rFonts w:ascii="Arial" w:hAnsi="Arial" w:cs="Arial"/>
        </w:rPr>
        <w:t>d</w:t>
      </w:r>
      <w:r w:rsidR="004B1FFA">
        <w:rPr>
          <w:rFonts w:ascii="Arial" w:hAnsi="Arial" w:cs="Arial"/>
        </w:rPr>
        <w:t>e under the Act</w:t>
      </w:r>
      <w:r w:rsidR="006B2BA6">
        <w:rPr>
          <w:rFonts w:ascii="Arial" w:hAnsi="Arial" w:cs="Arial"/>
        </w:rPr>
        <w:t xml:space="preserve"> and </w:t>
      </w:r>
      <w:r w:rsidR="004B1F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ny word or expression to which a meaning has been assigned in the </w:t>
      </w:r>
      <w:r w:rsidR="00715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</w:t>
      </w:r>
      <w:r w:rsidR="006B2BA6">
        <w:rPr>
          <w:rFonts w:ascii="Arial" w:hAnsi="Arial" w:cs="Arial"/>
        </w:rPr>
        <w:t xml:space="preserve"> or the Regulations </w:t>
      </w:r>
      <w:r>
        <w:rPr>
          <w:rFonts w:ascii="Arial" w:hAnsi="Arial" w:cs="Arial"/>
        </w:rPr>
        <w:t>bears th</w:t>
      </w:r>
      <w:r w:rsidR="0071535E">
        <w:rPr>
          <w:rFonts w:ascii="Arial" w:hAnsi="Arial" w:cs="Arial"/>
        </w:rPr>
        <w:t xml:space="preserve">e similar </w:t>
      </w:r>
      <w:r w:rsidR="00CF18B6">
        <w:rPr>
          <w:rFonts w:ascii="Arial" w:hAnsi="Arial" w:cs="Arial"/>
        </w:rPr>
        <w:t xml:space="preserve">meaning, </w:t>
      </w:r>
      <w:r>
        <w:rPr>
          <w:rFonts w:ascii="Arial" w:hAnsi="Arial" w:cs="Arial"/>
        </w:rPr>
        <w:t>unless the context indicates otherwise</w:t>
      </w:r>
      <w:r w:rsidR="00CF18B6">
        <w:rPr>
          <w:rFonts w:ascii="Arial" w:hAnsi="Arial" w:cs="Arial"/>
        </w:rPr>
        <w:t>.</w:t>
      </w:r>
    </w:p>
    <w:p w:rsidR="00F16BB8" w:rsidRPr="004D788A" w:rsidRDefault="00F16BB8" w:rsidP="00F16BB8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Purpose</w:t>
      </w:r>
    </w:p>
    <w:p w:rsidR="006B2BA6" w:rsidRDefault="001C3B86" w:rsidP="00DC47D9">
      <w:pPr>
        <w:spacing w:after="24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02FA2">
        <w:rPr>
          <w:rFonts w:ascii="Arial" w:hAnsi="Arial" w:cs="Arial"/>
        </w:rPr>
        <w:t xml:space="preserve"> </w:t>
      </w:r>
      <w:r w:rsidR="006B2BA6">
        <w:rPr>
          <w:rFonts w:ascii="Arial" w:hAnsi="Arial" w:cs="Arial"/>
        </w:rPr>
        <w:t>purpose of this S</w:t>
      </w:r>
      <w:r w:rsidR="00D02FA2">
        <w:rPr>
          <w:rFonts w:ascii="Arial" w:hAnsi="Arial" w:cs="Arial"/>
        </w:rPr>
        <w:t xml:space="preserve">tandard </w:t>
      </w:r>
      <w:r w:rsidR="006B2BA6">
        <w:rPr>
          <w:rFonts w:ascii="Arial" w:hAnsi="Arial" w:cs="Arial"/>
        </w:rPr>
        <w:t>is</w:t>
      </w:r>
      <w:r w:rsidR="00DC47D9">
        <w:rPr>
          <w:rFonts w:ascii="Arial" w:hAnsi="Arial" w:cs="Arial"/>
        </w:rPr>
        <w:t xml:space="preserve"> to</w:t>
      </w:r>
      <w:r w:rsidR="006B2BA6">
        <w:rPr>
          <w:rFonts w:ascii="Arial" w:hAnsi="Arial" w:cs="Arial"/>
        </w:rPr>
        <w:t>-</w:t>
      </w:r>
    </w:p>
    <w:p w:rsidR="006B2BA6" w:rsidRDefault="006B2BA6" w:rsidP="00DC47D9">
      <w:pPr>
        <w:pStyle w:val="ListParagraph"/>
        <w:numPr>
          <w:ilvl w:val="0"/>
          <w:numId w:val="23"/>
        </w:numPr>
        <w:tabs>
          <w:tab w:val="left" w:pos="1080"/>
        </w:tabs>
        <w:spacing w:after="240" w:line="360" w:lineRule="auto"/>
        <w:ind w:left="1134" w:hanging="567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>set out</w:t>
      </w:r>
      <w:r w:rsidR="00D02FA2" w:rsidRPr="00DC47D9">
        <w:rPr>
          <w:rFonts w:ascii="Arial" w:hAnsi="Arial" w:cs="Arial"/>
        </w:rPr>
        <w:t xml:space="preserve"> the drawdown levels that </w:t>
      </w:r>
      <w:r w:rsidRPr="00DC47D9">
        <w:rPr>
          <w:rFonts w:ascii="Arial" w:hAnsi="Arial" w:cs="Arial"/>
        </w:rPr>
        <w:t>must</w:t>
      </w:r>
      <w:r w:rsidR="00D02FA2" w:rsidRPr="00DC47D9">
        <w:rPr>
          <w:rFonts w:ascii="Arial" w:hAnsi="Arial" w:cs="Arial"/>
        </w:rPr>
        <w:t xml:space="preserve"> be complied with </w:t>
      </w:r>
      <w:r w:rsidRPr="00DC47D9">
        <w:rPr>
          <w:rFonts w:ascii="Arial" w:hAnsi="Arial" w:cs="Arial"/>
        </w:rPr>
        <w:t xml:space="preserve">as contemplated in Regulation 39(3); </w:t>
      </w:r>
      <w:r w:rsidR="00525906" w:rsidRPr="00DC47D9">
        <w:rPr>
          <w:rFonts w:ascii="Arial" w:hAnsi="Arial" w:cs="Arial"/>
        </w:rPr>
        <w:t xml:space="preserve">and </w:t>
      </w:r>
    </w:p>
    <w:p w:rsidR="00FC0140" w:rsidRPr="00DC47D9" w:rsidRDefault="00D777BF" w:rsidP="00DC47D9">
      <w:pPr>
        <w:pStyle w:val="ListParagraph"/>
        <w:numPr>
          <w:ilvl w:val="0"/>
          <w:numId w:val="23"/>
        </w:numPr>
        <w:tabs>
          <w:tab w:val="left" w:pos="1080"/>
        </w:tabs>
        <w:spacing w:after="240" w:line="360" w:lineRule="auto"/>
        <w:ind w:left="1134" w:hanging="567"/>
        <w:jc w:val="both"/>
        <w:rPr>
          <w:rFonts w:ascii="Arial" w:hAnsi="Arial" w:cs="Arial"/>
        </w:rPr>
      </w:pPr>
      <w:proofErr w:type="gramStart"/>
      <w:r w:rsidRPr="00DC47D9">
        <w:rPr>
          <w:rFonts w:ascii="Arial" w:hAnsi="Arial" w:cs="Arial"/>
        </w:rPr>
        <w:t>determine</w:t>
      </w:r>
      <w:proofErr w:type="gramEnd"/>
      <w:r w:rsidR="006B2BA6" w:rsidRPr="00DC47D9">
        <w:rPr>
          <w:rFonts w:ascii="Arial" w:hAnsi="Arial" w:cs="Arial"/>
        </w:rPr>
        <w:t xml:space="preserve"> </w:t>
      </w:r>
      <w:r w:rsidRPr="00DC47D9">
        <w:rPr>
          <w:rFonts w:ascii="Arial" w:hAnsi="Arial" w:cs="Arial"/>
        </w:rPr>
        <w:t xml:space="preserve">conditions </w:t>
      </w:r>
      <w:r w:rsidR="00D02FA2" w:rsidRPr="00DC47D9">
        <w:rPr>
          <w:rFonts w:ascii="Arial" w:hAnsi="Arial" w:cs="Arial"/>
        </w:rPr>
        <w:t xml:space="preserve">for a living annuity to be chosen as part of a fund’s </w:t>
      </w:r>
      <w:r w:rsidR="00525906" w:rsidRPr="00DC47D9">
        <w:rPr>
          <w:rFonts w:ascii="Arial" w:hAnsi="Arial" w:cs="Arial"/>
        </w:rPr>
        <w:t xml:space="preserve">default </w:t>
      </w:r>
      <w:r w:rsidR="00D02FA2" w:rsidRPr="00DC47D9">
        <w:rPr>
          <w:rFonts w:ascii="Arial" w:hAnsi="Arial" w:cs="Arial"/>
        </w:rPr>
        <w:t xml:space="preserve">annuity strategy. </w:t>
      </w:r>
    </w:p>
    <w:p w:rsidR="00F77013" w:rsidRPr="00F77013" w:rsidRDefault="006544F3" w:rsidP="00BC0767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Principles </w:t>
      </w:r>
    </w:p>
    <w:p w:rsidR="00D777BF" w:rsidRDefault="00F12467" w:rsidP="00DC47D9">
      <w:pPr>
        <w:pStyle w:val="ListParagraph"/>
        <w:numPr>
          <w:ilvl w:val="0"/>
          <w:numId w:val="16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6544F3">
        <w:rPr>
          <w:rFonts w:ascii="Arial" w:hAnsi="Arial" w:cs="Arial"/>
        </w:rPr>
        <w:t xml:space="preserve">The </w:t>
      </w:r>
      <w:r w:rsidR="00C032BD" w:rsidRPr="006544F3">
        <w:rPr>
          <w:rFonts w:ascii="Arial" w:hAnsi="Arial" w:cs="Arial"/>
        </w:rPr>
        <w:t xml:space="preserve">default </w:t>
      </w:r>
      <w:r w:rsidRPr="006544F3">
        <w:rPr>
          <w:rFonts w:ascii="Arial" w:hAnsi="Arial" w:cs="Arial"/>
        </w:rPr>
        <w:t>annuity strategy</w:t>
      </w:r>
      <w:r w:rsidR="00CA5D66">
        <w:rPr>
          <w:rFonts w:ascii="Arial" w:hAnsi="Arial" w:cs="Arial"/>
        </w:rPr>
        <w:t>,</w:t>
      </w:r>
      <w:r w:rsidRPr="006544F3">
        <w:rPr>
          <w:rFonts w:ascii="Arial" w:hAnsi="Arial" w:cs="Arial"/>
        </w:rPr>
        <w:t xml:space="preserve"> established by the board</w:t>
      </w:r>
      <w:r w:rsidR="00CA5D66">
        <w:rPr>
          <w:rFonts w:ascii="Arial" w:hAnsi="Arial" w:cs="Arial"/>
        </w:rPr>
        <w:t>,</w:t>
      </w:r>
      <w:r w:rsidRPr="006544F3">
        <w:rPr>
          <w:rFonts w:ascii="Arial" w:hAnsi="Arial" w:cs="Arial"/>
        </w:rPr>
        <w:t xml:space="preserve"> </w:t>
      </w:r>
      <w:r w:rsidR="006544F3">
        <w:rPr>
          <w:rFonts w:ascii="Arial" w:hAnsi="Arial" w:cs="Arial"/>
        </w:rPr>
        <w:t xml:space="preserve">must </w:t>
      </w:r>
      <w:r w:rsidRPr="006544F3">
        <w:rPr>
          <w:rFonts w:ascii="Arial" w:hAnsi="Arial" w:cs="Arial"/>
        </w:rPr>
        <w:t xml:space="preserve">represent </w:t>
      </w:r>
      <w:r w:rsidR="00A44843">
        <w:rPr>
          <w:rFonts w:ascii="Arial" w:hAnsi="Arial" w:cs="Arial"/>
        </w:rPr>
        <w:t>a</w:t>
      </w:r>
      <w:r w:rsidR="00A44843" w:rsidRPr="006544F3">
        <w:rPr>
          <w:rFonts w:ascii="Arial" w:hAnsi="Arial" w:cs="Arial"/>
        </w:rPr>
        <w:t xml:space="preserve"> </w:t>
      </w:r>
      <w:r w:rsidRPr="006544F3">
        <w:rPr>
          <w:rFonts w:ascii="Arial" w:hAnsi="Arial" w:cs="Arial"/>
        </w:rPr>
        <w:t xml:space="preserve">fund’s </w:t>
      </w:r>
      <w:r w:rsidR="00783E2E" w:rsidRPr="006544F3">
        <w:rPr>
          <w:rFonts w:ascii="Arial" w:hAnsi="Arial" w:cs="Arial"/>
        </w:rPr>
        <w:t xml:space="preserve">best </w:t>
      </w:r>
      <w:r w:rsidR="00C032BD" w:rsidRPr="006544F3">
        <w:rPr>
          <w:rFonts w:ascii="Arial" w:hAnsi="Arial" w:cs="Arial"/>
        </w:rPr>
        <w:t xml:space="preserve">proposal </w:t>
      </w:r>
      <w:r w:rsidRPr="006544F3">
        <w:rPr>
          <w:rFonts w:ascii="Arial" w:hAnsi="Arial" w:cs="Arial"/>
        </w:rPr>
        <w:t>for the average member</w:t>
      </w:r>
      <w:r w:rsidR="009F55B5">
        <w:rPr>
          <w:rFonts w:ascii="Arial" w:hAnsi="Arial" w:cs="Arial"/>
        </w:rPr>
        <w:t xml:space="preserve"> of that fund</w:t>
      </w:r>
      <w:r w:rsidR="00CA5D66">
        <w:rPr>
          <w:rFonts w:ascii="Arial" w:hAnsi="Arial" w:cs="Arial"/>
        </w:rPr>
        <w:t xml:space="preserve"> in order</w:t>
      </w:r>
      <w:r w:rsidRPr="006544F3">
        <w:rPr>
          <w:rFonts w:ascii="Arial" w:hAnsi="Arial" w:cs="Arial"/>
        </w:rPr>
        <w:t xml:space="preserve"> to assist those members who do not feel </w:t>
      </w:r>
      <w:r w:rsidR="000C781F" w:rsidRPr="006544F3">
        <w:rPr>
          <w:rFonts w:ascii="Arial" w:hAnsi="Arial" w:cs="Arial"/>
        </w:rPr>
        <w:t xml:space="preserve">comfortable </w:t>
      </w:r>
      <w:r w:rsidRPr="006544F3">
        <w:rPr>
          <w:rFonts w:ascii="Arial" w:hAnsi="Arial" w:cs="Arial"/>
        </w:rPr>
        <w:t>mak</w:t>
      </w:r>
      <w:r w:rsidR="000C781F" w:rsidRPr="006544F3">
        <w:rPr>
          <w:rFonts w:ascii="Arial" w:hAnsi="Arial" w:cs="Arial"/>
        </w:rPr>
        <w:t>ing</w:t>
      </w:r>
      <w:r w:rsidRPr="006544F3">
        <w:rPr>
          <w:rFonts w:ascii="Arial" w:hAnsi="Arial" w:cs="Arial"/>
        </w:rPr>
        <w:t xml:space="preserve"> their own decision at retirement. </w:t>
      </w:r>
    </w:p>
    <w:p w:rsidR="00D777BF" w:rsidRDefault="00F12467" w:rsidP="00DC47D9">
      <w:pPr>
        <w:pStyle w:val="ListParagraph"/>
        <w:numPr>
          <w:ilvl w:val="0"/>
          <w:numId w:val="16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 xml:space="preserve">The best </w:t>
      </w:r>
      <w:r w:rsidR="000C781F" w:rsidRPr="00DC47D9">
        <w:rPr>
          <w:rFonts w:ascii="Arial" w:hAnsi="Arial" w:cs="Arial"/>
        </w:rPr>
        <w:t xml:space="preserve">proposal </w:t>
      </w:r>
      <w:r w:rsidR="006544F3" w:rsidRPr="00DC47D9">
        <w:rPr>
          <w:rFonts w:ascii="Arial" w:hAnsi="Arial" w:cs="Arial"/>
        </w:rPr>
        <w:t xml:space="preserve">may </w:t>
      </w:r>
      <w:r w:rsidRPr="00DC47D9">
        <w:rPr>
          <w:rFonts w:ascii="Arial" w:hAnsi="Arial" w:cs="Arial"/>
        </w:rPr>
        <w:t xml:space="preserve">be different for different </w:t>
      </w:r>
      <w:r w:rsidR="00C032BD" w:rsidRPr="00DC47D9">
        <w:rPr>
          <w:rFonts w:ascii="Arial" w:hAnsi="Arial" w:cs="Arial"/>
        </w:rPr>
        <w:t>categories</w:t>
      </w:r>
      <w:r w:rsidRPr="00DC47D9">
        <w:rPr>
          <w:rFonts w:ascii="Arial" w:hAnsi="Arial" w:cs="Arial"/>
        </w:rPr>
        <w:t xml:space="preserve"> of members and </w:t>
      </w:r>
      <w:r w:rsidR="006544F3" w:rsidRPr="00DC47D9">
        <w:rPr>
          <w:rFonts w:ascii="Arial" w:hAnsi="Arial" w:cs="Arial"/>
        </w:rPr>
        <w:t xml:space="preserve">may </w:t>
      </w:r>
      <w:r w:rsidR="00783E2E" w:rsidRPr="00DC47D9">
        <w:rPr>
          <w:rFonts w:ascii="Arial" w:hAnsi="Arial" w:cs="Arial"/>
        </w:rPr>
        <w:t xml:space="preserve">therefore </w:t>
      </w:r>
      <w:r w:rsidRPr="00DC47D9">
        <w:rPr>
          <w:rFonts w:ascii="Arial" w:hAnsi="Arial" w:cs="Arial"/>
        </w:rPr>
        <w:t xml:space="preserve">suggest different annuities for different </w:t>
      </w:r>
      <w:r w:rsidR="00C032BD" w:rsidRPr="00DC47D9">
        <w:rPr>
          <w:rFonts w:ascii="Arial" w:hAnsi="Arial" w:cs="Arial"/>
        </w:rPr>
        <w:t>categories</w:t>
      </w:r>
      <w:r w:rsidRPr="00DC47D9">
        <w:rPr>
          <w:rFonts w:ascii="Arial" w:hAnsi="Arial" w:cs="Arial"/>
        </w:rPr>
        <w:t xml:space="preserve">, depending on </w:t>
      </w:r>
      <w:r w:rsidR="00C032BD" w:rsidRPr="00DC47D9">
        <w:rPr>
          <w:rFonts w:ascii="Arial" w:hAnsi="Arial" w:cs="Arial"/>
        </w:rPr>
        <w:t xml:space="preserve">the </w:t>
      </w:r>
      <w:r w:rsidRPr="00DC47D9">
        <w:rPr>
          <w:rFonts w:ascii="Arial" w:hAnsi="Arial" w:cs="Arial"/>
        </w:rPr>
        <w:t>expected needs</w:t>
      </w:r>
      <w:r w:rsidR="00D052F5" w:rsidRPr="00DC47D9">
        <w:rPr>
          <w:rFonts w:ascii="Arial" w:hAnsi="Arial" w:cs="Arial"/>
        </w:rPr>
        <w:t xml:space="preserve"> and circumstances</w:t>
      </w:r>
      <w:r w:rsidR="00C032BD" w:rsidRPr="00DC47D9">
        <w:rPr>
          <w:rFonts w:ascii="Arial" w:hAnsi="Arial" w:cs="Arial"/>
        </w:rPr>
        <w:t xml:space="preserve"> of members</w:t>
      </w:r>
      <w:r w:rsidRPr="00DC47D9">
        <w:rPr>
          <w:rFonts w:ascii="Arial" w:hAnsi="Arial" w:cs="Arial"/>
        </w:rPr>
        <w:t xml:space="preserve">. </w:t>
      </w:r>
    </w:p>
    <w:p w:rsidR="008C6DA1" w:rsidRPr="00DC47D9" w:rsidRDefault="001C3B86" w:rsidP="00DC47D9">
      <w:pPr>
        <w:pStyle w:val="ListParagraph"/>
        <w:numPr>
          <w:ilvl w:val="0"/>
          <w:numId w:val="16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 or In a </w:t>
      </w:r>
      <w:r w:rsidR="00F12467" w:rsidRPr="00DC47D9">
        <w:rPr>
          <w:rFonts w:ascii="Arial" w:hAnsi="Arial" w:cs="Arial"/>
        </w:rPr>
        <w:t xml:space="preserve">living annuity, </w:t>
      </w:r>
      <w:r w:rsidR="00783E2E" w:rsidRPr="00DC47D9">
        <w:rPr>
          <w:rFonts w:ascii="Arial" w:hAnsi="Arial" w:cs="Arial"/>
        </w:rPr>
        <w:t>a</w:t>
      </w:r>
      <w:r w:rsidR="00F12467" w:rsidRPr="00DC47D9">
        <w:rPr>
          <w:rFonts w:ascii="Arial" w:hAnsi="Arial" w:cs="Arial"/>
        </w:rPr>
        <w:t xml:space="preserve"> pensioner is individually exposed to the risk</w:t>
      </w:r>
      <w:r w:rsidR="008C6DA1" w:rsidRPr="00DC47D9">
        <w:rPr>
          <w:rFonts w:ascii="Arial" w:hAnsi="Arial" w:cs="Arial"/>
        </w:rPr>
        <w:t>s</w:t>
      </w:r>
      <w:r w:rsidR="00F12467" w:rsidRPr="00DC47D9">
        <w:rPr>
          <w:rFonts w:ascii="Arial" w:hAnsi="Arial" w:cs="Arial"/>
        </w:rPr>
        <w:t xml:space="preserve"> of </w:t>
      </w:r>
      <w:r w:rsidR="008C6DA1" w:rsidRPr="00DC47D9">
        <w:rPr>
          <w:rFonts w:ascii="Arial" w:hAnsi="Arial" w:cs="Arial"/>
        </w:rPr>
        <w:t xml:space="preserve">– </w:t>
      </w:r>
    </w:p>
    <w:p w:rsidR="008C6DA1" w:rsidRDefault="008C6DA1" w:rsidP="00497FDB">
      <w:pPr>
        <w:pStyle w:val="ListParagraph"/>
        <w:numPr>
          <w:ilvl w:val="0"/>
          <w:numId w:val="14"/>
        </w:numPr>
        <w:tabs>
          <w:tab w:val="left" w:pos="567"/>
          <w:tab w:val="left" w:pos="1620"/>
        </w:tabs>
        <w:spacing w:after="0" w:line="360" w:lineRule="auto"/>
        <w:ind w:left="1134" w:hanging="54"/>
        <w:jc w:val="both"/>
        <w:rPr>
          <w:rFonts w:ascii="Arial" w:hAnsi="Arial" w:cs="Arial"/>
        </w:rPr>
      </w:pPr>
      <w:r>
        <w:rPr>
          <w:rFonts w:ascii="Arial" w:hAnsi="Arial" w:cs="Arial"/>
        </w:rPr>
        <w:t>retirement savings being depleted too soon;</w:t>
      </w:r>
    </w:p>
    <w:p w:rsidR="008C6DA1" w:rsidRDefault="00F12467" w:rsidP="00497FDB">
      <w:pPr>
        <w:pStyle w:val="ListParagraph"/>
        <w:numPr>
          <w:ilvl w:val="0"/>
          <w:numId w:val="14"/>
        </w:numPr>
        <w:tabs>
          <w:tab w:val="left" w:pos="567"/>
          <w:tab w:val="left" w:pos="1620"/>
        </w:tabs>
        <w:spacing w:after="0" w:line="360" w:lineRule="auto"/>
        <w:ind w:left="1134" w:hanging="54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>poor investment returns on capital</w:t>
      </w:r>
      <w:r w:rsidR="008C6DA1" w:rsidRPr="00DC47D9">
        <w:rPr>
          <w:rFonts w:ascii="Arial" w:hAnsi="Arial" w:cs="Arial"/>
        </w:rPr>
        <w:t xml:space="preserve">; and </w:t>
      </w:r>
    </w:p>
    <w:p w:rsidR="008C6DA1" w:rsidRPr="00DC47D9" w:rsidRDefault="00D777BF" w:rsidP="00497FDB">
      <w:pPr>
        <w:pStyle w:val="ListParagraph"/>
        <w:numPr>
          <w:ilvl w:val="0"/>
          <w:numId w:val="14"/>
        </w:numPr>
        <w:tabs>
          <w:tab w:val="left" w:pos="567"/>
          <w:tab w:val="left" w:pos="1620"/>
        </w:tabs>
        <w:spacing w:after="0" w:line="360" w:lineRule="auto"/>
        <w:ind w:left="1134" w:hanging="54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>excessive fees and charges</w:t>
      </w:r>
    </w:p>
    <w:p w:rsidR="00F12467" w:rsidRDefault="00D777BF" w:rsidP="00DC47D9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which</w:t>
      </w:r>
      <w:proofErr w:type="gramEnd"/>
      <w:r>
        <w:rPr>
          <w:rFonts w:ascii="Arial" w:hAnsi="Arial" w:cs="Arial"/>
        </w:rPr>
        <w:t xml:space="preserve"> c</w:t>
      </w:r>
      <w:r w:rsidR="008C6DA1">
        <w:rPr>
          <w:rFonts w:ascii="Arial" w:hAnsi="Arial" w:cs="Arial"/>
        </w:rPr>
        <w:t xml:space="preserve">ould </w:t>
      </w:r>
      <w:r w:rsidR="00F12467" w:rsidRPr="008C6DA1">
        <w:rPr>
          <w:rFonts w:ascii="Arial" w:hAnsi="Arial" w:cs="Arial"/>
        </w:rPr>
        <w:t xml:space="preserve">result in poor retirement outcomes, </w:t>
      </w:r>
      <w:r w:rsidR="008C6DA1">
        <w:rPr>
          <w:rFonts w:ascii="Arial" w:hAnsi="Arial" w:cs="Arial"/>
        </w:rPr>
        <w:t xml:space="preserve">such as </w:t>
      </w:r>
      <w:r w:rsidR="00F12467" w:rsidRPr="008C6DA1">
        <w:rPr>
          <w:rFonts w:ascii="Arial" w:hAnsi="Arial" w:cs="Arial"/>
        </w:rPr>
        <w:t xml:space="preserve">unsustainable income streams and a reduction in annuity payments over time. </w:t>
      </w:r>
    </w:p>
    <w:p w:rsidR="00E074D7" w:rsidRDefault="006544F3" w:rsidP="00DC47D9">
      <w:pPr>
        <w:pStyle w:val="ListParagraph"/>
        <w:numPr>
          <w:ilvl w:val="0"/>
          <w:numId w:val="16"/>
        </w:numPr>
        <w:tabs>
          <w:tab w:val="left" w:pos="567"/>
          <w:tab w:val="left" w:pos="1134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 xml:space="preserve">Where a </w:t>
      </w:r>
      <w:r w:rsidR="00F12467" w:rsidRPr="00DC47D9">
        <w:rPr>
          <w:rFonts w:ascii="Arial" w:hAnsi="Arial" w:cs="Arial"/>
        </w:rPr>
        <w:t xml:space="preserve">board </w:t>
      </w:r>
      <w:r w:rsidR="007075EC" w:rsidRPr="00DC47D9">
        <w:rPr>
          <w:rFonts w:ascii="Arial" w:hAnsi="Arial" w:cs="Arial"/>
        </w:rPr>
        <w:t>determine</w:t>
      </w:r>
      <w:r w:rsidR="00D777BF" w:rsidRPr="00DC47D9">
        <w:rPr>
          <w:rFonts w:ascii="Arial" w:hAnsi="Arial" w:cs="Arial"/>
        </w:rPr>
        <w:t>s</w:t>
      </w:r>
      <w:r w:rsidR="00783E2E" w:rsidRPr="00DC47D9">
        <w:rPr>
          <w:rFonts w:ascii="Arial" w:hAnsi="Arial" w:cs="Arial"/>
        </w:rPr>
        <w:t xml:space="preserve"> </w:t>
      </w:r>
      <w:r w:rsidR="00F12467" w:rsidRPr="00DC47D9">
        <w:rPr>
          <w:rFonts w:ascii="Arial" w:hAnsi="Arial" w:cs="Arial"/>
        </w:rPr>
        <w:t xml:space="preserve">a living annuity </w:t>
      </w:r>
      <w:r w:rsidR="00783E2E" w:rsidRPr="00DC47D9">
        <w:rPr>
          <w:rFonts w:ascii="Arial" w:hAnsi="Arial" w:cs="Arial"/>
        </w:rPr>
        <w:t>as</w:t>
      </w:r>
      <w:r w:rsidR="00F12467" w:rsidRPr="00DC47D9">
        <w:rPr>
          <w:rFonts w:ascii="Arial" w:hAnsi="Arial" w:cs="Arial"/>
        </w:rPr>
        <w:t xml:space="preserve"> </w:t>
      </w:r>
      <w:r w:rsidR="008C6DA1" w:rsidRPr="00DC47D9">
        <w:rPr>
          <w:rFonts w:ascii="Arial" w:hAnsi="Arial" w:cs="Arial"/>
        </w:rPr>
        <w:t>an</w:t>
      </w:r>
      <w:r w:rsidR="00F12467" w:rsidRPr="00DC47D9">
        <w:rPr>
          <w:rFonts w:ascii="Arial" w:hAnsi="Arial" w:cs="Arial"/>
        </w:rPr>
        <w:t xml:space="preserve"> appropriate </w:t>
      </w:r>
      <w:r w:rsidR="008C6DA1" w:rsidRPr="00DC47D9">
        <w:rPr>
          <w:rFonts w:ascii="Arial" w:hAnsi="Arial" w:cs="Arial"/>
        </w:rPr>
        <w:t xml:space="preserve">default </w:t>
      </w:r>
      <w:r w:rsidR="00F12467" w:rsidRPr="00DC47D9">
        <w:rPr>
          <w:rFonts w:ascii="Arial" w:hAnsi="Arial" w:cs="Arial"/>
        </w:rPr>
        <w:t xml:space="preserve">annuity for </w:t>
      </w:r>
      <w:r w:rsidR="00E074D7" w:rsidRPr="00DC47D9">
        <w:rPr>
          <w:rFonts w:ascii="Arial" w:hAnsi="Arial" w:cs="Arial"/>
        </w:rPr>
        <w:t>members</w:t>
      </w:r>
      <w:r w:rsidR="00D777BF" w:rsidRPr="00DC47D9">
        <w:rPr>
          <w:rFonts w:ascii="Arial" w:hAnsi="Arial" w:cs="Arial"/>
        </w:rPr>
        <w:t>,</w:t>
      </w:r>
      <w:r w:rsidR="00E074D7" w:rsidRPr="00DC47D9">
        <w:rPr>
          <w:rFonts w:ascii="Arial" w:hAnsi="Arial" w:cs="Arial"/>
        </w:rPr>
        <w:t xml:space="preserve"> </w:t>
      </w:r>
      <w:r w:rsidR="00224D80" w:rsidRPr="00DC47D9">
        <w:rPr>
          <w:rFonts w:ascii="Arial" w:hAnsi="Arial" w:cs="Arial"/>
        </w:rPr>
        <w:t xml:space="preserve">its </w:t>
      </w:r>
      <w:r w:rsidR="008C6DA1" w:rsidRPr="00DC47D9">
        <w:rPr>
          <w:rFonts w:ascii="Arial" w:hAnsi="Arial" w:cs="Arial"/>
        </w:rPr>
        <w:t xml:space="preserve">default </w:t>
      </w:r>
      <w:r w:rsidR="00E074D7" w:rsidRPr="00DC47D9">
        <w:rPr>
          <w:rFonts w:ascii="Arial" w:hAnsi="Arial" w:cs="Arial"/>
        </w:rPr>
        <w:t xml:space="preserve">annuity strategy framework </w:t>
      </w:r>
      <w:r w:rsidRPr="00DC47D9">
        <w:rPr>
          <w:rFonts w:ascii="Arial" w:hAnsi="Arial" w:cs="Arial"/>
        </w:rPr>
        <w:t>must</w:t>
      </w:r>
      <w:r w:rsidR="00E074D7" w:rsidRPr="00DC47D9">
        <w:rPr>
          <w:rFonts w:ascii="Arial" w:hAnsi="Arial" w:cs="Arial"/>
        </w:rPr>
        <w:t xml:space="preserve"> ensure that more protection is afforded to the</w:t>
      </w:r>
      <w:r w:rsidR="00783E2E" w:rsidRPr="00DC47D9">
        <w:rPr>
          <w:rFonts w:ascii="Arial" w:hAnsi="Arial" w:cs="Arial"/>
        </w:rPr>
        <w:t>se</w:t>
      </w:r>
      <w:r w:rsidR="009F55B5" w:rsidRPr="00DC47D9">
        <w:rPr>
          <w:rFonts w:ascii="Arial" w:hAnsi="Arial" w:cs="Arial"/>
        </w:rPr>
        <w:t xml:space="preserve"> </w:t>
      </w:r>
      <w:r w:rsidR="00F63D73">
        <w:rPr>
          <w:rFonts w:ascii="Arial" w:hAnsi="Arial" w:cs="Arial"/>
        </w:rPr>
        <w:t xml:space="preserve">members </w:t>
      </w:r>
      <w:r w:rsidR="00E074D7" w:rsidRPr="00DC47D9">
        <w:rPr>
          <w:rFonts w:ascii="Arial" w:hAnsi="Arial" w:cs="Arial"/>
        </w:rPr>
        <w:t>compared to the case where a</w:t>
      </w:r>
      <w:r w:rsidR="00783E2E" w:rsidRPr="00DC47D9">
        <w:rPr>
          <w:rFonts w:ascii="Arial" w:hAnsi="Arial" w:cs="Arial"/>
        </w:rPr>
        <w:t xml:space="preserve"> member </w:t>
      </w:r>
      <w:r w:rsidR="00E074D7" w:rsidRPr="00DC47D9">
        <w:rPr>
          <w:rFonts w:ascii="Arial" w:hAnsi="Arial" w:cs="Arial"/>
        </w:rPr>
        <w:t xml:space="preserve">makes a specific choice </w:t>
      </w:r>
      <w:r w:rsidR="002C3BAF" w:rsidRPr="00DC47D9">
        <w:rPr>
          <w:rFonts w:ascii="Arial" w:hAnsi="Arial" w:cs="Arial"/>
        </w:rPr>
        <w:t xml:space="preserve">to participate in a living annuity </w:t>
      </w:r>
      <w:r w:rsidR="00E074D7" w:rsidRPr="00DC47D9">
        <w:rPr>
          <w:rFonts w:ascii="Arial" w:hAnsi="Arial" w:cs="Arial"/>
        </w:rPr>
        <w:t xml:space="preserve">based on their own circumstances and </w:t>
      </w:r>
      <w:r w:rsidR="000832F7" w:rsidRPr="00DC47D9">
        <w:rPr>
          <w:rFonts w:ascii="Arial" w:hAnsi="Arial" w:cs="Arial"/>
        </w:rPr>
        <w:t>research</w:t>
      </w:r>
      <w:r w:rsidR="00E074D7" w:rsidRPr="00DC47D9">
        <w:rPr>
          <w:rFonts w:ascii="Arial" w:hAnsi="Arial" w:cs="Arial"/>
        </w:rPr>
        <w:t>. For this reason, more stringent limits relating to drawdown</w:t>
      </w:r>
      <w:r w:rsidR="00783E2E" w:rsidRPr="00DC47D9">
        <w:rPr>
          <w:rFonts w:ascii="Arial" w:hAnsi="Arial" w:cs="Arial"/>
        </w:rPr>
        <w:t xml:space="preserve"> rates are prescribed</w:t>
      </w:r>
      <w:r w:rsidR="002C3BAF" w:rsidRPr="00DC47D9">
        <w:rPr>
          <w:rFonts w:ascii="Arial" w:hAnsi="Arial" w:cs="Arial"/>
        </w:rPr>
        <w:t xml:space="preserve"> for living annuities forming part of the </w:t>
      </w:r>
      <w:r w:rsidR="000832F7" w:rsidRPr="00DC47D9">
        <w:rPr>
          <w:rFonts w:ascii="Arial" w:hAnsi="Arial" w:cs="Arial"/>
        </w:rPr>
        <w:t xml:space="preserve">default </w:t>
      </w:r>
      <w:r w:rsidR="002C3BAF" w:rsidRPr="00DC47D9">
        <w:rPr>
          <w:rFonts w:ascii="Arial" w:hAnsi="Arial" w:cs="Arial"/>
        </w:rPr>
        <w:t>annuity strategy</w:t>
      </w:r>
      <w:r w:rsidR="00783E2E" w:rsidRPr="00DC47D9">
        <w:rPr>
          <w:rFonts w:ascii="Arial" w:hAnsi="Arial" w:cs="Arial"/>
        </w:rPr>
        <w:t>.</w:t>
      </w:r>
    </w:p>
    <w:p w:rsidR="00F12467" w:rsidRDefault="00602CFC" w:rsidP="00DC47D9">
      <w:pPr>
        <w:pStyle w:val="ListParagraph"/>
        <w:numPr>
          <w:ilvl w:val="0"/>
          <w:numId w:val="16"/>
        </w:numPr>
        <w:tabs>
          <w:tab w:val="left" w:pos="567"/>
          <w:tab w:val="left" w:pos="1134"/>
        </w:tabs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lastRenderedPageBreak/>
        <w:t>T</w:t>
      </w:r>
      <w:r w:rsidR="00E074D7" w:rsidRPr="00DC47D9">
        <w:rPr>
          <w:rFonts w:ascii="Arial" w:hAnsi="Arial" w:cs="Arial"/>
        </w:rPr>
        <w:t xml:space="preserve">he sustainability of income </w:t>
      </w:r>
      <w:r w:rsidRPr="00DC47D9">
        <w:rPr>
          <w:rFonts w:ascii="Arial" w:hAnsi="Arial" w:cs="Arial"/>
        </w:rPr>
        <w:t xml:space="preserve">must </w:t>
      </w:r>
      <w:r w:rsidR="00E074D7" w:rsidRPr="00DC47D9">
        <w:rPr>
          <w:rFonts w:ascii="Arial" w:hAnsi="Arial" w:cs="Arial"/>
        </w:rPr>
        <w:t xml:space="preserve">be regularly measured and clearly communicated </w:t>
      </w:r>
      <w:r w:rsidR="000832F7" w:rsidRPr="00DC47D9">
        <w:rPr>
          <w:rFonts w:ascii="Arial" w:hAnsi="Arial" w:cs="Arial"/>
        </w:rPr>
        <w:t xml:space="preserve">to the pensioner </w:t>
      </w:r>
      <w:r w:rsidR="00E074D7" w:rsidRPr="00DC47D9">
        <w:rPr>
          <w:rFonts w:ascii="Arial" w:hAnsi="Arial" w:cs="Arial"/>
        </w:rPr>
        <w:t>both at inception, as well as on a regular basis</w:t>
      </w:r>
      <w:r w:rsidR="000832F7" w:rsidRPr="00DC47D9">
        <w:rPr>
          <w:rFonts w:ascii="Arial" w:hAnsi="Arial" w:cs="Arial"/>
        </w:rPr>
        <w:t xml:space="preserve"> thereafter</w:t>
      </w:r>
      <w:r w:rsidR="00E074D7" w:rsidRPr="00DC47D9">
        <w:rPr>
          <w:rFonts w:ascii="Arial" w:hAnsi="Arial" w:cs="Arial"/>
        </w:rPr>
        <w:t>.</w:t>
      </w:r>
    </w:p>
    <w:p w:rsidR="00DC47D9" w:rsidRPr="00DC47D9" w:rsidRDefault="00DC47D9" w:rsidP="00DC47D9">
      <w:pPr>
        <w:pStyle w:val="ListParagraph"/>
        <w:tabs>
          <w:tab w:val="left" w:pos="567"/>
          <w:tab w:val="left" w:pos="1134"/>
        </w:tabs>
        <w:spacing w:after="0" w:line="360" w:lineRule="auto"/>
        <w:ind w:left="567"/>
        <w:jc w:val="both"/>
        <w:rPr>
          <w:rFonts w:ascii="Arial" w:hAnsi="Arial" w:cs="Arial"/>
        </w:rPr>
      </w:pPr>
    </w:p>
    <w:p w:rsidR="00E074D7" w:rsidRPr="00783E2E" w:rsidRDefault="00783E2E" w:rsidP="00783E2E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783E2E">
        <w:rPr>
          <w:rFonts w:ascii="Arial" w:hAnsi="Arial" w:cs="Arial"/>
          <w:b/>
          <w:bCs/>
        </w:rPr>
        <w:t xml:space="preserve">Sustainable </w:t>
      </w:r>
      <w:r w:rsidR="00602CFC">
        <w:rPr>
          <w:rFonts w:ascii="Arial" w:hAnsi="Arial" w:cs="Arial"/>
          <w:b/>
          <w:bCs/>
        </w:rPr>
        <w:t>i</w:t>
      </w:r>
      <w:r w:rsidRPr="00783E2E">
        <w:rPr>
          <w:rFonts w:ascii="Arial" w:hAnsi="Arial" w:cs="Arial"/>
          <w:b/>
          <w:bCs/>
        </w:rPr>
        <w:t>ncome</w:t>
      </w:r>
    </w:p>
    <w:p w:rsidR="00E074D7" w:rsidRPr="00D421B3" w:rsidRDefault="00602CFC" w:rsidP="00DC47D9">
      <w:pPr>
        <w:pStyle w:val="ListParagraph"/>
        <w:numPr>
          <w:ilvl w:val="0"/>
          <w:numId w:val="18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D421B3">
        <w:rPr>
          <w:rFonts w:ascii="Arial" w:hAnsi="Arial" w:cs="Arial"/>
        </w:rPr>
        <w:t>A fund must measure t</w:t>
      </w:r>
      <w:r w:rsidR="00783E2E" w:rsidRPr="00D421B3">
        <w:rPr>
          <w:rFonts w:ascii="Arial" w:hAnsi="Arial" w:cs="Arial"/>
        </w:rPr>
        <w:t xml:space="preserve">he sustainability of income by considering the </w:t>
      </w:r>
      <w:r w:rsidR="0032485E" w:rsidRPr="00D421B3">
        <w:rPr>
          <w:rFonts w:ascii="Arial" w:hAnsi="Arial" w:cs="Arial"/>
        </w:rPr>
        <w:t>continued payment of a particular income over the lifetime of a</w:t>
      </w:r>
      <w:r w:rsidR="005029F7">
        <w:rPr>
          <w:rFonts w:ascii="Arial" w:hAnsi="Arial" w:cs="Arial"/>
        </w:rPr>
        <w:t xml:space="preserve"> person</w:t>
      </w:r>
      <w:r w:rsidR="0032485E" w:rsidRPr="00D421B3">
        <w:rPr>
          <w:rFonts w:ascii="Arial" w:hAnsi="Arial" w:cs="Arial"/>
        </w:rPr>
        <w:t xml:space="preserve">, where the income </w:t>
      </w:r>
      <w:r w:rsidR="00695706" w:rsidRPr="00D421B3">
        <w:rPr>
          <w:rFonts w:ascii="Arial" w:hAnsi="Arial" w:cs="Arial"/>
        </w:rPr>
        <w:t>payments increase in line with inflation.</w:t>
      </w:r>
    </w:p>
    <w:p w:rsidR="00E074D7" w:rsidRPr="00D421B3" w:rsidRDefault="00602CFC" w:rsidP="00DC47D9">
      <w:pPr>
        <w:pStyle w:val="ListParagraph"/>
        <w:numPr>
          <w:ilvl w:val="0"/>
          <w:numId w:val="18"/>
        </w:numPr>
        <w:spacing w:after="120" w:line="360" w:lineRule="auto"/>
        <w:ind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The outcome in sub-paragraph (1) may be achieved</w:t>
      </w:r>
      <w:r w:rsidR="00695706" w:rsidRPr="00D421B3">
        <w:rPr>
          <w:rFonts w:ascii="Arial" w:hAnsi="Arial" w:cs="Arial"/>
        </w:rPr>
        <w:t xml:space="preserve"> in </w:t>
      </w:r>
      <w:r w:rsidR="002C3BAF" w:rsidRPr="00D421B3">
        <w:rPr>
          <w:rFonts w:ascii="Arial" w:hAnsi="Arial" w:cs="Arial"/>
        </w:rPr>
        <w:t xml:space="preserve">various </w:t>
      </w:r>
      <w:r w:rsidR="00695706" w:rsidRPr="00D421B3">
        <w:rPr>
          <w:rFonts w:ascii="Arial" w:hAnsi="Arial" w:cs="Arial"/>
        </w:rPr>
        <w:t xml:space="preserve">ways: </w:t>
      </w:r>
    </w:p>
    <w:p w:rsidR="00E074D7" w:rsidRDefault="00CA5D66" w:rsidP="00497FDB">
      <w:pPr>
        <w:pStyle w:val="ListParagraph"/>
        <w:numPr>
          <w:ilvl w:val="0"/>
          <w:numId w:val="19"/>
        </w:numPr>
        <w:spacing w:after="120" w:line="360" w:lineRule="auto"/>
        <w:ind w:left="1134" w:hanging="5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95706">
        <w:rPr>
          <w:rFonts w:ascii="Arial" w:hAnsi="Arial" w:cs="Arial"/>
        </w:rPr>
        <w:t xml:space="preserve">ustainable income </w:t>
      </w:r>
      <w:r w:rsidR="00602CFC">
        <w:rPr>
          <w:rFonts w:ascii="Arial" w:hAnsi="Arial" w:cs="Arial"/>
        </w:rPr>
        <w:t>may</w:t>
      </w:r>
      <w:r w:rsidR="00695706">
        <w:rPr>
          <w:rFonts w:ascii="Arial" w:hAnsi="Arial" w:cs="Arial"/>
        </w:rPr>
        <w:t xml:space="preserve"> relate to the monetary a</w:t>
      </w:r>
      <w:r w:rsidR="00E074D7" w:rsidRPr="00695706">
        <w:rPr>
          <w:rFonts w:ascii="Arial" w:hAnsi="Arial" w:cs="Arial"/>
        </w:rPr>
        <w:t xml:space="preserve">mount at the outset that is likely (with a 90% </w:t>
      </w:r>
      <w:r w:rsidR="000832F7">
        <w:rPr>
          <w:rFonts w:ascii="Arial" w:hAnsi="Arial" w:cs="Arial"/>
        </w:rPr>
        <w:t>probability</w:t>
      </w:r>
      <w:r w:rsidR="00E074D7" w:rsidRPr="00695706">
        <w:rPr>
          <w:rFonts w:ascii="Arial" w:hAnsi="Arial" w:cs="Arial"/>
        </w:rPr>
        <w:t xml:space="preserve">) to continue to be paid, with annual inflationary increases, for the expected lifetime of </w:t>
      </w:r>
      <w:r w:rsidR="00695706">
        <w:rPr>
          <w:rFonts w:ascii="Arial" w:hAnsi="Arial" w:cs="Arial"/>
        </w:rPr>
        <w:t>the</w:t>
      </w:r>
      <w:r w:rsidR="00E074D7" w:rsidRPr="00695706">
        <w:rPr>
          <w:rFonts w:ascii="Arial" w:hAnsi="Arial" w:cs="Arial"/>
        </w:rPr>
        <w:t xml:space="preserve"> individual, based on the capital available at inception and assuming</w:t>
      </w:r>
      <w:r w:rsidR="005029F7">
        <w:rPr>
          <w:rFonts w:ascii="Arial" w:hAnsi="Arial" w:cs="Arial"/>
        </w:rPr>
        <w:t xml:space="preserve"> reasonable real returns earned; or</w:t>
      </w:r>
    </w:p>
    <w:p w:rsidR="00E074D7" w:rsidRDefault="005029F7" w:rsidP="00497FDB">
      <w:pPr>
        <w:pStyle w:val="ListParagraph"/>
        <w:numPr>
          <w:ilvl w:val="0"/>
          <w:numId w:val="19"/>
        </w:numPr>
        <w:spacing w:after="120" w:line="360" w:lineRule="auto"/>
        <w:ind w:left="1134" w:hanging="5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Pr="005029F7">
        <w:rPr>
          <w:rFonts w:ascii="Arial" w:hAnsi="Arial" w:cs="Arial"/>
        </w:rPr>
        <w:t>ustainable</w:t>
      </w:r>
      <w:proofErr w:type="gramEnd"/>
      <w:r w:rsidRPr="005029F7">
        <w:rPr>
          <w:rFonts w:ascii="Arial" w:hAnsi="Arial" w:cs="Arial"/>
        </w:rPr>
        <w:t xml:space="preserve"> income may </w:t>
      </w:r>
      <w:r w:rsidR="00E074D7" w:rsidRPr="005029F7">
        <w:rPr>
          <w:rFonts w:ascii="Arial" w:hAnsi="Arial" w:cs="Arial"/>
        </w:rPr>
        <w:t xml:space="preserve">be measured as the expected number of years until the capital can no longer support a given </w:t>
      </w:r>
      <w:r w:rsidR="00695706" w:rsidRPr="005029F7">
        <w:rPr>
          <w:rFonts w:ascii="Arial" w:hAnsi="Arial" w:cs="Arial"/>
        </w:rPr>
        <w:t xml:space="preserve">monetary </w:t>
      </w:r>
      <w:r w:rsidR="00E074D7" w:rsidRPr="005029F7">
        <w:rPr>
          <w:rFonts w:ascii="Arial" w:hAnsi="Arial" w:cs="Arial"/>
        </w:rPr>
        <w:t>drawdown</w:t>
      </w:r>
      <w:r w:rsidR="002C3BAF" w:rsidRPr="005029F7">
        <w:rPr>
          <w:rFonts w:ascii="Arial" w:hAnsi="Arial" w:cs="Arial"/>
        </w:rPr>
        <w:t>, where the monetary amount increases with annual inflationary increases</w:t>
      </w:r>
      <w:r w:rsidR="00695706" w:rsidRPr="005029F7">
        <w:rPr>
          <w:rFonts w:ascii="Arial" w:hAnsi="Arial" w:cs="Arial"/>
        </w:rPr>
        <w:t>.</w:t>
      </w:r>
    </w:p>
    <w:p w:rsidR="000832F7" w:rsidRPr="00DC47D9" w:rsidRDefault="005029F7" w:rsidP="00DC47D9">
      <w:pPr>
        <w:pStyle w:val="ListParagraph"/>
        <w:numPr>
          <w:ilvl w:val="0"/>
          <w:numId w:val="18"/>
        </w:numPr>
        <w:tabs>
          <w:tab w:val="left" w:pos="0"/>
          <w:tab w:val="left" w:pos="1134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>The s</w:t>
      </w:r>
      <w:r w:rsidR="003B6B21" w:rsidRPr="00DC47D9">
        <w:rPr>
          <w:rFonts w:ascii="Arial" w:hAnsi="Arial" w:cs="Arial"/>
        </w:rPr>
        <w:t xml:space="preserve">ustainable income </w:t>
      </w:r>
      <w:r w:rsidR="002C3BAF" w:rsidRPr="00DC47D9">
        <w:rPr>
          <w:rFonts w:ascii="Arial" w:hAnsi="Arial" w:cs="Arial"/>
        </w:rPr>
        <w:t xml:space="preserve">level </w:t>
      </w:r>
      <w:r w:rsidRPr="00DC47D9">
        <w:rPr>
          <w:rFonts w:ascii="Arial" w:hAnsi="Arial" w:cs="Arial"/>
        </w:rPr>
        <w:t>may</w:t>
      </w:r>
      <w:r w:rsidR="003B6B21" w:rsidRPr="00DC47D9">
        <w:rPr>
          <w:rFonts w:ascii="Arial" w:hAnsi="Arial" w:cs="Arial"/>
        </w:rPr>
        <w:t xml:space="preserve"> result in a monthly pension </w:t>
      </w:r>
      <w:r w:rsidR="00695706" w:rsidRPr="00DC47D9">
        <w:rPr>
          <w:rFonts w:ascii="Arial" w:hAnsi="Arial" w:cs="Arial"/>
        </w:rPr>
        <w:t xml:space="preserve">which </w:t>
      </w:r>
      <w:r w:rsidR="002C3BAF" w:rsidRPr="00DC47D9">
        <w:rPr>
          <w:rFonts w:ascii="Arial" w:hAnsi="Arial" w:cs="Arial"/>
        </w:rPr>
        <w:t xml:space="preserve">is </w:t>
      </w:r>
      <w:r w:rsidR="00D777BF" w:rsidRPr="00DC47D9">
        <w:rPr>
          <w:rFonts w:ascii="Arial" w:hAnsi="Arial" w:cs="Arial"/>
        </w:rPr>
        <w:t xml:space="preserve">lower than </w:t>
      </w:r>
      <w:r w:rsidR="002C3BAF" w:rsidRPr="00DC47D9">
        <w:rPr>
          <w:rFonts w:ascii="Arial" w:hAnsi="Arial" w:cs="Arial"/>
        </w:rPr>
        <w:t xml:space="preserve">the amount </w:t>
      </w:r>
      <w:r w:rsidR="00D777BF" w:rsidRPr="00DC47D9">
        <w:rPr>
          <w:rFonts w:ascii="Arial" w:hAnsi="Arial" w:cs="Arial"/>
        </w:rPr>
        <w:t>required as a living income</w:t>
      </w:r>
      <w:r w:rsidR="002C3BAF" w:rsidRPr="00DC47D9">
        <w:rPr>
          <w:rFonts w:ascii="Arial" w:hAnsi="Arial" w:cs="Arial"/>
        </w:rPr>
        <w:t>.</w:t>
      </w:r>
    </w:p>
    <w:p w:rsidR="00E074D7" w:rsidRPr="002C3BAF" w:rsidRDefault="002C3BAF" w:rsidP="002C3BAF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 w:rsidRPr="002C3BAF">
        <w:rPr>
          <w:rFonts w:ascii="Arial" w:hAnsi="Arial" w:cs="Arial"/>
          <w:b/>
          <w:bCs/>
        </w:rPr>
        <w:t xml:space="preserve">Monitoring </w:t>
      </w:r>
      <w:r w:rsidR="009502D5">
        <w:rPr>
          <w:rFonts w:ascii="Arial" w:hAnsi="Arial" w:cs="Arial"/>
          <w:b/>
          <w:bCs/>
        </w:rPr>
        <w:t>s</w:t>
      </w:r>
      <w:r w:rsidRPr="002C3BAF">
        <w:rPr>
          <w:rFonts w:ascii="Arial" w:hAnsi="Arial" w:cs="Arial"/>
          <w:b/>
          <w:bCs/>
        </w:rPr>
        <w:t>ustainability</w:t>
      </w:r>
    </w:p>
    <w:p w:rsidR="00306732" w:rsidRDefault="009502D5" w:rsidP="00DC47D9">
      <w:pPr>
        <w:pStyle w:val="ListParagraph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120" w:line="360" w:lineRule="auto"/>
        <w:ind w:left="0" w:firstLine="567"/>
        <w:jc w:val="both"/>
        <w:rPr>
          <w:rFonts w:ascii="Arial" w:hAnsi="Arial" w:cs="Arial"/>
        </w:rPr>
      </w:pPr>
      <w:r w:rsidRPr="00D421B3">
        <w:rPr>
          <w:rFonts w:ascii="Arial" w:hAnsi="Arial" w:cs="Arial"/>
        </w:rPr>
        <w:t>A</w:t>
      </w:r>
      <w:r w:rsidR="00306732" w:rsidRPr="00D421B3">
        <w:rPr>
          <w:rFonts w:ascii="Arial" w:hAnsi="Arial" w:cs="Arial"/>
        </w:rPr>
        <w:t xml:space="preserve"> fund must establish a mechanism to monitor the sustainability of the </w:t>
      </w:r>
      <w:r w:rsidR="002C3BAF" w:rsidRPr="00D421B3">
        <w:rPr>
          <w:rFonts w:ascii="Arial" w:hAnsi="Arial" w:cs="Arial"/>
        </w:rPr>
        <w:t xml:space="preserve">income from the </w:t>
      </w:r>
      <w:r w:rsidR="000832F7" w:rsidRPr="00D421B3">
        <w:rPr>
          <w:rFonts w:ascii="Arial" w:hAnsi="Arial" w:cs="Arial"/>
        </w:rPr>
        <w:t xml:space="preserve">default </w:t>
      </w:r>
      <w:r w:rsidR="00306732" w:rsidRPr="00D421B3">
        <w:rPr>
          <w:rFonts w:ascii="Arial" w:hAnsi="Arial" w:cs="Arial"/>
        </w:rPr>
        <w:t>living annui</w:t>
      </w:r>
      <w:r w:rsidR="002C3BAF" w:rsidRPr="00D421B3">
        <w:rPr>
          <w:rFonts w:ascii="Arial" w:hAnsi="Arial" w:cs="Arial"/>
        </w:rPr>
        <w:t>ty for a</w:t>
      </w:r>
      <w:r>
        <w:rPr>
          <w:rFonts w:ascii="Arial" w:hAnsi="Arial" w:cs="Arial"/>
        </w:rPr>
        <w:t>ny</w:t>
      </w:r>
      <w:r w:rsidR="002C3BAF" w:rsidRPr="00D421B3">
        <w:rPr>
          <w:rFonts w:ascii="Arial" w:hAnsi="Arial" w:cs="Arial"/>
        </w:rPr>
        <w:t xml:space="preserve"> </w:t>
      </w:r>
      <w:r w:rsidR="000832F7" w:rsidRPr="00D421B3">
        <w:rPr>
          <w:rFonts w:ascii="Arial" w:hAnsi="Arial" w:cs="Arial"/>
        </w:rPr>
        <w:t>pensioner of the fund</w:t>
      </w:r>
      <w:r w:rsidR="002C3BAF" w:rsidRPr="00D421B3">
        <w:rPr>
          <w:rFonts w:ascii="Arial" w:hAnsi="Arial" w:cs="Arial"/>
        </w:rPr>
        <w:t>.</w:t>
      </w:r>
    </w:p>
    <w:p w:rsidR="003171D7" w:rsidRPr="00DC47D9" w:rsidRDefault="00D421B3" w:rsidP="00DC47D9">
      <w:pPr>
        <w:pStyle w:val="ListParagraph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120" w:line="360" w:lineRule="auto"/>
        <w:ind w:left="0" w:firstLine="567"/>
        <w:jc w:val="both"/>
        <w:rPr>
          <w:rFonts w:ascii="Arial" w:hAnsi="Arial" w:cs="Arial"/>
        </w:rPr>
      </w:pPr>
      <w:r w:rsidRPr="00DC47D9">
        <w:rPr>
          <w:rFonts w:ascii="Arial" w:hAnsi="Arial" w:cs="Arial"/>
        </w:rPr>
        <w:t>A f</w:t>
      </w:r>
      <w:r w:rsidR="0034132D" w:rsidRPr="00DC47D9">
        <w:rPr>
          <w:rFonts w:ascii="Arial" w:hAnsi="Arial" w:cs="Arial"/>
        </w:rPr>
        <w:t>u</w:t>
      </w:r>
      <w:r w:rsidRPr="00DC47D9">
        <w:rPr>
          <w:rFonts w:ascii="Arial" w:hAnsi="Arial" w:cs="Arial"/>
        </w:rPr>
        <w:t>nd must ensure that</w:t>
      </w:r>
      <w:r w:rsidR="003171D7" w:rsidRPr="00DC47D9">
        <w:rPr>
          <w:rFonts w:ascii="Arial" w:hAnsi="Arial" w:cs="Arial"/>
        </w:rPr>
        <w:t>:</w:t>
      </w:r>
    </w:p>
    <w:p w:rsidR="00306732" w:rsidRDefault="00306732" w:rsidP="00497FDB">
      <w:pPr>
        <w:pStyle w:val="ListParagraph"/>
        <w:numPr>
          <w:ilvl w:val="0"/>
          <w:numId w:val="21"/>
        </w:numPr>
        <w:tabs>
          <w:tab w:val="left" w:pos="567"/>
        </w:tabs>
        <w:spacing w:after="120" w:line="360" w:lineRule="auto"/>
        <w:ind w:left="1134" w:hanging="54"/>
        <w:jc w:val="both"/>
        <w:rPr>
          <w:rFonts w:ascii="Arial" w:hAnsi="Arial" w:cs="Arial"/>
        </w:rPr>
      </w:pPr>
      <w:proofErr w:type="gramStart"/>
      <w:r w:rsidRPr="00121A01">
        <w:rPr>
          <w:rFonts w:ascii="Arial" w:hAnsi="Arial" w:cs="Arial"/>
        </w:rPr>
        <w:t>communication</w:t>
      </w:r>
      <w:proofErr w:type="gramEnd"/>
      <w:r w:rsidRPr="00121A01">
        <w:rPr>
          <w:rFonts w:ascii="Arial" w:hAnsi="Arial" w:cs="Arial"/>
        </w:rPr>
        <w:t xml:space="preserve"> at inception </w:t>
      </w:r>
      <w:r w:rsidR="00BE3D1A">
        <w:rPr>
          <w:rFonts w:ascii="Arial" w:hAnsi="Arial" w:cs="Arial"/>
        </w:rPr>
        <w:t xml:space="preserve">sets out </w:t>
      </w:r>
      <w:r w:rsidRPr="00121A01">
        <w:rPr>
          <w:rFonts w:ascii="Arial" w:hAnsi="Arial" w:cs="Arial"/>
        </w:rPr>
        <w:t xml:space="preserve">a reasonable </w:t>
      </w:r>
      <w:r w:rsidR="000832F7" w:rsidRPr="00121A01">
        <w:rPr>
          <w:rFonts w:ascii="Arial" w:hAnsi="Arial" w:cs="Arial"/>
        </w:rPr>
        <w:t>commencement</w:t>
      </w:r>
      <w:r w:rsidRPr="00121A01">
        <w:rPr>
          <w:rFonts w:ascii="Arial" w:hAnsi="Arial" w:cs="Arial"/>
        </w:rPr>
        <w:t xml:space="preserve"> income and drawdown</w:t>
      </w:r>
      <w:r w:rsidR="00E1429A" w:rsidRPr="00121A01">
        <w:rPr>
          <w:rFonts w:ascii="Arial" w:hAnsi="Arial" w:cs="Arial"/>
        </w:rPr>
        <w:t xml:space="preserve"> rate</w:t>
      </w:r>
      <w:r w:rsidRPr="00121A01">
        <w:rPr>
          <w:rFonts w:ascii="Arial" w:hAnsi="Arial" w:cs="Arial"/>
        </w:rPr>
        <w:t xml:space="preserve">. This </w:t>
      </w:r>
      <w:r w:rsidR="00E1429A" w:rsidRPr="00121A01">
        <w:rPr>
          <w:rFonts w:ascii="Arial" w:hAnsi="Arial" w:cs="Arial"/>
        </w:rPr>
        <w:t>impacts</w:t>
      </w:r>
      <w:r w:rsidRPr="00121A01">
        <w:rPr>
          <w:rFonts w:ascii="Arial" w:hAnsi="Arial" w:cs="Arial"/>
        </w:rPr>
        <w:t xml:space="preserve"> the pensioner’s benefit expectations and must provide detail</w:t>
      </w:r>
      <w:r w:rsidR="00BE3D1A">
        <w:rPr>
          <w:rFonts w:ascii="Arial" w:hAnsi="Arial" w:cs="Arial"/>
        </w:rPr>
        <w:t>s</w:t>
      </w:r>
      <w:r w:rsidRPr="00121A01">
        <w:rPr>
          <w:rFonts w:ascii="Arial" w:hAnsi="Arial" w:cs="Arial"/>
        </w:rPr>
        <w:t xml:space="preserve"> on the risks and sustainabi</w:t>
      </w:r>
      <w:r w:rsidR="00E1429A" w:rsidRPr="00121A01">
        <w:rPr>
          <w:rFonts w:ascii="Arial" w:hAnsi="Arial" w:cs="Arial"/>
        </w:rPr>
        <w:t>lity</w:t>
      </w:r>
      <w:r w:rsidR="000832F7" w:rsidRPr="00121A01">
        <w:rPr>
          <w:rFonts w:ascii="Arial" w:hAnsi="Arial" w:cs="Arial"/>
        </w:rPr>
        <w:t xml:space="preserve"> of that pension</w:t>
      </w:r>
      <w:r w:rsidR="003171D7" w:rsidRPr="003171D7">
        <w:rPr>
          <w:rFonts w:ascii="Arial" w:hAnsi="Arial" w:cs="Arial"/>
        </w:rPr>
        <w:t xml:space="preserve">; </w:t>
      </w:r>
      <w:r w:rsidR="00BE3D1A">
        <w:rPr>
          <w:rFonts w:ascii="Arial" w:hAnsi="Arial" w:cs="Arial"/>
        </w:rPr>
        <w:t>and</w:t>
      </w:r>
    </w:p>
    <w:p w:rsidR="00EB5C0F" w:rsidRPr="00DC47D9" w:rsidRDefault="003171D7" w:rsidP="00497FDB">
      <w:pPr>
        <w:pStyle w:val="ListParagraph"/>
        <w:numPr>
          <w:ilvl w:val="0"/>
          <w:numId w:val="21"/>
        </w:numPr>
        <w:tabs>
          <w:tab w:val="left" w:pos="567"/>
        </w:tabs>
        <w:spacing w:after="120" w:line="360" w:lineRule="auto"/>
        <w:ind w:left="1134" w:hanging="54"/>
        <w:jc w:val="both"/>
        <w:rPr>
          <w:rFonts w:ascii="Arial" w:hAnsi="Arial" w:cs="Arial"/>
        </w:rPr>
      </w:pPr>
      <w:proofErr w:type="gramStart"/>
      <w:r w:rsidRPr="00DC47D9">
        <w:rPr>
          <w:rFonts w:ascii="Arial" w:hAnsi="Arial" w:cs="Arial"/>
        </w:rPr>
        <w:t>s</w:t>
      </w:r>
      <w:r w:rsidR="00306732" w:rsidRPr="00DC47D9">
        <w:rPr>
          <w:rFonts w:ascii="Arial" w:hAnsi="Arial" w:cs="Arial"/>
        </w:rPr>
        <w:t>ubsequent</w:t>
      </w:r>
      <w:proofErr w:type="gramEnd"/>
      <w:r w:rsidR="00306732" w:rsidRPr="00DC47D9">
        <w:rPr>
          <w:rFonts w:ascii="Arial" w:hAnsi="Arial" w:cs="Arial"/>
        </w:rPr>
        <w:t xml:space="preserve"> communication, </w:t>
      </w:r>
      <w:r w:rsidR="000832F7" w:rsidRPr="00DC47D9">
        <w:rPr>
          <w:rFonts w:ascii="Arial" w:hAnsi="Arial" w:cs="Arial"/>
        </w:rPr>
        <w:t xml:space="preserve">which must be </w:t>
      </w:r>
      <w:r w:rsidR="00306732" w:rsidRPr="00DC47D9">
        <w:rPr>
          <w:rFonts w:ascii="Arial" w:hAnsi="Arial" w:cs="Arial"/>
        </w:rPr>
        <w:t>at least on an annual basis,</w:t>
      </w:r>
      <w:r w:rsidR="00497FDB">
        <w:rPr>
          <w:rFonts w:ascii="Arial" w:hAnsi="Arial" w:cs="Arial"/>
        </w:rPr>
        <w:t xml:space="preserve"> provides information</w:t>
      </w:r>
      <w:r w:rsidR="00306732" w:rsidRPr="00DC47D9">
        <w:rPr>
          <w:rFonts w:ascii="Arial" w:hAnsi="Arial" w:cs="Arial"/>
        </w:rPr>
        <w:t xml:space="preserve"> </w:t>
      </w:r>
      <w:r w:rsidR="00497FDB">
        <w:rPr>
          <w:rFonts w:ascii="Arial" w:hAnsi="Arial" w:cs="Arial"/>
        </w:rPr>
        <w:t xml:space="preserve">on the performance of the annuity and an update </w:t>
      </w:r>
      <w:r w:rsidR="00306732" w:rsidRPr="00DC47D9">
        <w:rPr>
          <w:rFonts w:ascii="Arial" w:hAnsi="Arial" w:cs="Arial"/>
        </w:rPr>
        <w:t>on the continued sustainability</w:t>
      </w:r>
      <w:r w:rsidR="00E1429A" w:rsidRPr="00DC47D9">
        <w:rPr>
          <w:rFonts w:ascii="Arial" w:hAnsi="Arial" w:cs="Arial"/>
        </w:rPr>
        <w:t xml:space="preserve">, including </w:t>
      </w:r>
      <w:r w:rsidR="00306732" w:rsidRPr="00DC47D9">
        <w:rPr>
          <w:rFonts w:ascii="Arial" w:hAnsi="Arial" w:cs="Arial"/>
        </w:rPr>
        <w:t>warnings where</w:t>
      </w:r>
      <w:r w:rsidR="00BE3D1A" w:rsidRPr="00DC47D9">
        <w:rPr>
          <w:rFonts w:ascii="Arial" w:hAnsi="Arial" w:cs="Arial"/>
        </w:rPr>
        <w:t xml:space="preserve"> a </w:t>
      </w:r>
      <w:r w:rsidR="00F63D73">
        <w:rPr>
          <w:rFonts w:ascii="Arial" w:hAnsi="Arial" w:cs="Arial"/>
        </w:rPr>
        <w:t xml:space="preserve">pensioner </w:t>
      </w:r>
      <w:r w:rsidR="00306732" w:rsidRPr="00DC47D9">
        <w:rPr>
          <w:rFonts w:ascii="Arial" w:hAnsi="Arial" w:cs="Arial"/>
        </w:rPr>
        <w:t xml:space="preserve">is unlikely to achieve the targets </w:t>
      </w:r>
      <w:r w:rsidR="00E1429A" w:rsidRPr="00DC47D9">
        <w:rPr>
          <w:rFonts w:ascii="Arial" w:hAnsi="Arial" w:cs="Arial"/>
        </w:rPr>
        <w:t>or</w:t>
      </w:r>
      <w:r w:rsidR="00306732" w:rsidRPr="00DC47D9">
        <w:rPr>
          <w:rFonts w:ascii="Arial" w:hAnsi="Arial" w:cs="Arial"/>
        </w:rPr>
        <w:t xml:space="preserve"> income in the long</w:t>
      </w:r>
      <w:r w:rsidRPr="00DC47D9">
        <w:rPr>
          <w:rFonts w:ascii="Arial" w:hAnsi="Arial" w:cs="Arial"/>
        </w:rPr>
        <w:t>-</w:t>
      </w:r>
      <w:r w:rsidR="00306732" w:rsidRPr="00DC47D9">
        <w:rPr>
          <w:rFonts w:ascii="Arial" w:hAnsi="Arial" w:cs="Arial"/>
        </w:rPr>
        <w:t xml:space="preserve">term, </w:t>
      </w:r>
      <w:r w:rsidR="000832F7" w:rsidRPr="00DC47D9">
        <w:rPr>
          <w:rFonts w:ascii="Arial" w:hAnsi="Arial" w:cs="Arial"/>
        </w:rPr>
        <w:t xml:space="preserve">with the aim of </w:t>
      </w:r>
      <w:r w:rsidR="00306732" w:rsidRPr="00DC47D9">
        <w:rPr>
          <w:rFonts w:ascii="Arial" w:hAnsi="Arial" w:cs="Arial"/>
        </w:rPr>
        <w:t>urging the</w:t>
      </w:r>
      <w:r w:rsidR="00BE3D1A" w:rsidRPr="00DC47D9">
        <w:rPr>
          <w:rFonts w:ascii="Arial" w:hAnsi="Arial" w:cs="Arial"/>
        </w:rPr>
        <w:t xml:space="preserve"> </w:t>
      </w:r>
      <w:r w:rsidR="00F63D73">
        <w:rPr>
          <w:rFonts w:ascii="Arial" w:hAnsi="Arial" w:cs="Arial"/>
        </w:rPr>
        <w:t xml:space="preserve">pensioner </w:t>
      </w:r>
      <w:r w:rsidR="00306732" w:rsidRPr="00DC47D9">
        <w:rPr>
          <w:rFonts w:ascii="Arial" w:hAnsi="Arial" w:cs="Arial"/>
        </w:rPr>
        <w:t xml:space="preserve">to </w:t>
      </w:r>
      <w:r w:rsidR="000832F7" w:rsidRPr="00DC47D9">
        <w:rPr>
          <w:rFonts w:ascii="Arial" w:hAnsi="Arial" w:cs="Arial"/>
        </w:rPr>
        <w:t>consider alternative</w:t>
      </w:r>
      <w:r w:rsidR="00306732" w:rsidRPr="00DC47D9">
        <w:rPr>
          <w:rFonts w:ascii="Arial" w:hAnsi="Arial" w:cs="Arial"/>
        </w:rPr>
        <w:t xml:space="preserve"> action</w:t>
      </w:r>
      <w:r w:rsidR="000832F7" w:rsidRPr="00DC47D9">
        <w:rPr>
          <w:rFonts w:ascii="Arial" w:hAnsi="Arial" w:cs="Arial"/>
        </w:rPr>
        <w:t>s</w:t>
      </w:r>
      <w:r w:rsidR="00BE3D1A" w:rsidRPr="00DC47D9">
        <w:rPr>
          <w:rFonts w:ascii="Arial" w:hAnsi="Arial" w:cs="Arial"/>
        </w:rPr>
        <w:t>.</w:t>
      </w:r>
    </w:p>
    <w:p w:rsidR="00E52425" w:rsidRDefault="00BE3D1A" w:rsidP="00DC47D9">
      <w:pPr>
        <w:pStyle w:val="ListParagraph"/>
        <w:numPr>
          <w:ilvl w:val="0"/>
          <w:numId w:val="20"/>
        </w:numPr>
        <w:tabs>
          <w:tab w:val="left" w:pos="1080"/>
        </w:tabs>
        <w:spacing w:after="12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1429A" w:rsidRPr="00BE3D1A">
        <w:rPr>
          <w:rFonts w:ascii="Arial" w:hAnsi="Arial" w:cs="Arial"/>
        </w:rPr>
        <w:t xml:space="preserve">he communication </w:t>
      </w:r>
      <w:r w:rsidR="000832F7" w:rsidRPr="00BE3D1A">
        <w:rPr>
          <w:rFonts w:ascii="Arial" w:hAnsi="Arial" w:cs="Arial"/>
        </w:rPr>
        <w:t xml:space="preserve">must clearly inform </w:t>
      </w:r>
      <w:r w:rsidR="00E1429A" w:rsidRPr="00BE3D1A">
        <w:rPr>
          <w:rFonts w:ascii="Arial" w:hAnsi="Arial" w:cs="Arial"/>
        </w:rPr>
        <w:t xml:space="preserve">the </w:t>
      </w:r>
      <w:r w:rsidR="000832F7" w:rsidRPr="00BE3D1A">
        <w:rPr>
          <w:rFonts w:ascii="Arial" w:hAnsi="Arial" w:cs="Arial"/>
        </w:rPr>
        <w:t>per</w:t>
      </w:r>
      <w:r>
        <w:rPr>
          <w:rFonts w:ascii="Arial" w:hAnsi="Arial" w:cs="Arial"/>
        </w:rPr>
        <w:t>son</w:t>
      </w:r>
      <w:r w:rsidR="00E52425" w:rsidRPr="00BE3D1A">
        <w:rPr>
          <w:rFonts w:ascii="Arial" w:hAnsi="Arial" w:cs="Arial"/>
        </w:rPr>
        <w:t xml:space="preserve"> that there is no guarantee that the plan is sustainable, even if all the recommended actions</w:t>
      </w:r>
      <w:r w:rsidR="00E1429A" w:rsidRPr="00BE3D1A">
        <w:rPr>
          <w:rFonts w:ascii="Arial" w:hAnsi="Arial" w:cs="Arial"/>
        </w:rPr>
        <w:t xml:space="preserve"> are followed</w:t>
      </w:r>
      <w:r w:rsidR="00E52425" w:rsidRPr="00BE3D1A">
        <w:rPr>
          <w:rFonts w:ascii="Arial" w:hAnsi="Arial" w:cs="Arial"/>
        </w:rPr>
        <w:t xml:space="preserve">. </w:t>
      </w:r>
    </w:p>
    <w:p w:rsidR="00BE3D1A" w:rsidRDefault="00BE3D1A" w:rsidP="00497FDB">
      <w:pPr>
        <w:pStyle w:val="ListParagraph"/>
        <w:numPr>
          <w:ilvl w:val="0"/>
          <w:numId w:val="20"/>
        </w:numPr>
        <w:tabs>
          <w:tab w:val="left" w:pos="1260"/>
        </w:tabs>
        <w:spacing w:after="120" w:line="360" w:lineRule="auto"/>
        <w:ind w:hanging="540"/>
        <w:jc w:val="both"/>
        <w:rPr>
          <w:rFonts w:ascii="Arial" w:hAnsi="Arial" w:cs="Arial"/>
        </w:rPr>
      </w:pPr>
      <w:r w:rsidRPr="00BE3D1A">
        <w:rPr>
          <w:rFonts w:ascii="Arial" w:hAnsi="Arial" w:cs="Arial"/>
          <w:i/>
        </w:rPr>
        <w:t>(a)</w:t>
      </w:r>
      <w:r>
        <w:rPr>
          <w:rFonts w:ascii="Arial" w:hAnsi="Arial" w:cs="Arial"/>
        </w:rPr>
        <w:tab/>
      </w:r>
      <w:r w:rsidR="00306732" w:rsidRPr="00BE3D1A">
        <w:rPr>
          <w:rFonts w:ascii="Arial" w:hAnsi="Arial" w:cs="Arial"/>
        </w:rPr>
        <w:t xml:space="preserve">Where the </w:t>
      </w:r>
      <w:r w:rsidR="00E1429A" w:rsidRPr="00BE3D1A">
        <w:rPr>
          <w:rFonts w:ascii="Arial" w:hAnsi="Arial" w:cs="Arial"/>
        </w:rPr>
        <w:t xml:space="preserve">living </w:t>
      </w:r>
      <w:r w:rsidR="00306732" w:rsidRPr="00BE3D1A">
        <w:rPr>
          <w:rFonts w:ascii="Arial" w:hAnsi="Arial" w:cs="Arial"/>
        </w:rPr>
        <w:t xml:space="preserve">annuity is paid by </w:t>
      </w:r>
      <w:r>
        <w:rPr>
          <w:rFonts w:ascii="Arial" w:hAnsi="Arial" w:cs="Arial"/>
        </w:rPr>
        <w:t>a</w:t>
      </w:r>
      <w:r w:rsidR="00306732" w:rsidRPr="00BE3D1A">
        <w:rPr>
          <w:rFonts w:ascii="Arial" w:hAnsi="Arial" w:cs="Arial"/>
        </w:rPr>
        <w:t xml:space="preserve"> fund</w:t>
      </w:r>
      <w:r>
        <w:rPr>
          <w:rFonts w:ascii="Arial" w:hAnsi="Arial" w:cs="Arial"/>
        </w:rPr>
        <w:t xml:space="preserve">, </w:t>
      </w:r>
      <w:r w:rsidR="00306732" w:rsidRPr="00BE3D1A">
        <w:rPr>
          <w:rFonts w:ascii="Arial" w:hAnsi="Arial" w:cs="Arial"/>
        </w:rPr>
        <w:t>or is a policy in the fund’s name</w:t>
      </w:r>
      <w:r w:rsidR="00C7446A" w:rsidRPr="00BE3D1A">
        <w:rPr>
          <w:rFonts w:ascii="Arial" w:hAnsi="Arial" w:cs="Arial"/>
        </w:rPr>
        <w:t>,</w:t>
      </w:r>
      <w:r w:rsidR="00306732" w:rsidRPr="00BE3D1A">
        <w:rPr>
          <w:rFonts w:ascii="Arial" w:hAnsi="Arial" w:cs="Arial"/>
        </w:rPr>
        <w:t xml:space="preserve"> it is the responsibility of the fund to provide communication to its pensioners, at least on an annual basis. </w:t>
      </w:r>
    </w:p>
    <w:p w:rsidR="00E074D7" w:rsidRPr="00BE3D1A" w:rsidRDefault="00BE3D1A" w:rsidP="00F05A44">
      <w:pPr>
        <w:pStyle w:val="ListParagraph"/>
        <w:tabs>
          <w:tab w:val="left" w:pos="1080"/>
          <w:tab w:val="left" w:pos="1710"/>
        </w:tabs>
        <w:spacing w:after="120" w:line="360" w:lineRule="auto"/>
        <w:ind w:left="1710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3D1A">
        <w:rPr>
          <w:rFonts w:ascii="Arial" w:hAnsi="Arial" w:cs="Arial"/>
          <w:i/>
        </w:rPr>
        <w:t>(b)</w:t>
      </w:r>
      <w:r w:rsidRPr="00BE3D1A">
        <w:rPr>
          <w:rFonts w:ascii="Arial" w:hAnsi="Arial" w:cs="Arial"/>
          <w:i/>
        </w:rPr>
        <w:tab/>
      </w:r>
      <w:r w:rsidR="00306732" w:rsidRPr="00BE3D1A">
        <w:rPr>
          <w:rFonts w:ascii="Arial" w:hAnsi="Arial" w:cs="Arial"/>
        </w:rPr>
        <w:t xml:space="preserve">Where the annuity is paid </w:t>
      </w:r>
      <w:r w:rsidR="000C781F" w:rsidRPr="00BE3D1A">
        <w:rPr>
          <w:rFonts w:ascii="Arial" w:hAnsi="Arial" w:cs="Arial"/>
        </w:rPr>
        <w:t>directly to the pe</w:t>
      </w:r>
      <w:r>
        <w:rPr>
          <w:rFonts w:ascii="Arial" w:hAnsi="Arial" w:cs="Arial"/>
        </w:rPr>
        <w:t>rson</w:t>
      </w:r>
      <w:r w:rsidR="000C781F" w:rsidRPr="00BE3D1A">
        <w:rPr>
          <w:rFonts w:ascii="Arial" w:hAnsi="Arial" w:cs="Arial"/>
        </w:rPr>
        <w:t xml:space="preserve"> </w:t>
      </w:r>
      <w:r w:rsidR="00306732" w:rsidRPr="00BE3D1A">
        <w:rPr>
          <w:rFonts w:ascii="Arial" w:hAnsi="Arial" w:cs="Arial"/>
        </w:rPr>
        <w:t xml:space="preserve">by the </w:t>
      </w:r>
      <w:r w:rsidR="003E57EC">
        <w:rPr>
          <w:rFonts w:ascii="Arial" w:hAnsi="Arial" w:cs="Arial"/>
        </w:rPr>
        <w:t>long-term insurer</w:t>
      </w:r>
      <w:r w:rsidR="00306732" w:rsidRPr="00BE3D1A">
        <w:rPr>
          <w:rFonts w:ascii="Arial" w:hAnsi="Arial" w:cs="Arial"/>
        </w:rPr>
        <w:t xml:space="preserve">, the fund must ensure that the </w:t>
      </w:r>
      <w:r w:rsidR="003E57EC">
        <w:rPr>
          <w:rFonts w:ascii="Arial" w:hAnsi="Arial" w:cs="Arial"/>
        </w:rPr>
        <w:t>long-term insurer</w:t>
      </w:r>
      <w:r w:rsidR="00306732" w:rsidRPr="00BE3D1A">
        <w:rPr>
          <w:rFonts w:ascii="Arial" w:hAnsi="Arial" w:cs="Arial"/>
        </w:rPr>
        <w:t xml:space="preserve"> issu</w:t>
      </w:r>
      <w:r w:rsidR="00C7446A" w:rsidRPr="00BE3D1A">
        <w:rPr>
          <w:rFonts w:ascii="Arial" w:hAnsi="Arial" w:cs="Arial"/>
        </w:rPr>
        <w:t>es</w:t>
      </w:r>
      <w:r w:rsidR="00306732" w:rsidRPr="00BE3D1A">
        <w:rPr>
          <w:rFonts w:ascii="Arial" w:hAnsi="Arial" w:cs="Arial"/>
        </w:rPr>
        <w:t xml:space="preserve"> relevant and </w:t>
      </w:r>
      <w:r w:rsidR="00306732" w:rsidRPr="00BE3D1A">
        <w:rPr>
          <w:rFonts w:ascii="Arial" w:hAnsi="Arial" w:cs="Arial"/>
        </w:rPr>
        <w:lastRenderedPageBreak/>
        <w:t>appropriate communication</w:t>
      </w:r>
      <w:r w:rsidR="000C781F" w:rsidRPr="00BE3D1A">
        <w:rPr>
          <w:rFonts w:ascii="Arial" w:hAnsi="Arial" w:cs="Arial"/>
        </w:rPr>
        <w:t xml:space="preserve"> to the pensioner</w:t>
      </w:r>
      <w:r w:rsidR="00E1429A" w:rsidRPr="00BE3D1A">
        <w:rPr>
          <w:rFonts w:ascii="Arial" w:hAnsi="Arial" w:cs="Arial"/>
        </w:rPr>
        <w:t xml:space="preserve">, both at inception and </w:t>
      </w:r>
      <w:r w:rsidR="00306732" w:rsidRPr="00BE3D1A">
        <w:rPr>
          <w:rFonts w:ascii="Arial" w:hAnsi="Arial" w:cs="Arial"/>
        </w:rPr>
        <w:t xml:space="preserve">at least </w:t>
      </w:r>
      <w:r w:rsidR="00C7446A" w:rsidRPr="00BE3D1A">
        <w:rPr>
          <w:rFonts w:ascii="Arial" w:hAnsi="Arial" w:cs="Arial"/>
        </w:rPr>
        <w:t xml:space="preserve">on </w:t>
      </w:r>
      <w:r w:rsidR="00306732" w:rsidRPr="00BE3D1A">
        <w:rPr>
          <w:rFonts w:ascii="Arial" w:hAnsi="Arial" w:cs="Arial"/>
        </w:rPr>
        <w:t>an annual b</w:t>
      </w:r>
      <w:r w:rsidR="00E1429A" w:rsidRPr="00BE3D1A">
        <w:rPr>
          <w:rFonts w:ascii="Arial" w:hAnsi="Arial" w:cs="Arial"/>
        </w:rPr>
        <w:t>asis thereafter.</w:t>
      </w:r>
    </w:p>
    <w:p w:rsidR="00E074D7" w:rsidRPr="00E1429A" w:rsidRDefault="00E1429A" w:rsidP="00E1429A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E1429A">
        <w:rPr>
          <w:rFonts w:ascii="Arial" w:hAnsi="Arial" w:cs="Arial"/>
          <w:b/>
          <w:bCs/>
        </w:rPr>
        <w:t xml:space="preserve">rawdown limits for </w:t>
      </w:r>
      <w:r w:rsidR="00C7446A">
        <w:rPr>
          <w:rFonts w:ascii="Arial" w:hAnsi="Arial" w:cs="Arial"/>
          <w:b/>
          <w:bCs/>
        </w:rPr>
        <w:t xml:space="preserve">a default </w:t>
      </w:r>
      <w:r w:rsidRPr="00E1429A">
        <w:rPr>
          <w:rFonts w:ascii="Arial" w:hAnsi="Arial" w:cs="Arial"/>
          <w:b/>
          <w:bCs/>
        </w:rPr>
        <w:t xml:space="preserve">annuity strategy </w:t>
      </w:r>
      <w:r w:rsidR="00C7446A">
        <w:rPr>
          <w:rFonts w:ascii="Arial" w:hAnsi="Arial" w:cs="Arial"/>
          <w:b/>
          <w:bCs/>
        </w:rPr>
        <w:t xml:space="preserve">in the form of </w:t>
      </w:r>
      <w:r w:rsidRPr="00E1429A">
        <w:rPr>
          <w:rFonts w:ascii="Arial" w:hAnsi="Arial" w:cs="Arial"/>
          <w:b/>
          <w:bCs/>
        </w:rPr>
        <w:t>living annuities</w:t>
      </w:r>
    </w:p>
    <w:p w:rsidR="003E57EC" w:rsidRDefault="00E52425" w:rsidP="00C57B7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maximum drawdown rates have been determined by age band and gender, since these relate to limits to preserve sustainability, which depends on longevity. </w:t>
      </w:r>
    </w:p>
    <w:p w:rsidR="00C7446A" w:rsidRDefault="00ED07D4" w:rsidP="00515A0F">
      <w:pPr>
        <w:spacing w:after="240" w:line="360" w:lineRule="auto"/>
        <w:ind w:left="720" w:hanging="720"/>
        <w:jc w:val="center"/>
        <w:rPr>
          <w:rFonts w:ascii="Arial" w:hAnsi="Arial" w:cs="Arial"/>
          <w:i/>
        </w:rPr>
      </w:pPr>
      <w:r w:rsidRPr="00BC3597">
        <w:rPr>
          <w:noProof/>
          <w:lang w:val="en-US"/>
        </w:rPr>
        <w:drawing>
          <wp:inline distT="0" distB="0" distL="0" distR="0" wp14:anchorId="6CB7D596" wp14:editId="6389DAF2">
            <wp:extent cx="3819525" cy="1457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E3" w:rsidRPr="00F65231" w:rsidRDefault="00C20FE3" w:rsidP="00C7446A">
      <w:pPr>
        <w:spacing w:after="0" w:line="360" w:lineRule="auto"/>
        <w:ind w:left="720" w:hanging="720"/>
        <w:jc w:val="center"/>
        <w:rPr>
          <w:rFonts w:ascii="Arial" w:hAnsi="Arial" w:cs="Arial"/>
          <w:i/>
        </w:rPr>
      </w:pPr>
    </w:p>
    <w:p w:rsidR="00943D41" w:rsidRDefault="00306732" w:rsidP="00C57B7B">
      <w:pPr>
        <w:pStyle w:val="ListParagraph"/>
        <w:numPr>
          <w:ilvl w:val="0"/>
          <w:numId w:val="22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943D41">
        <w:rPr>
          <w:rFonts w:ascii="Arial" w:hAnsi="Arial" w:cs="Arial"/>
        </w:rPr>
        <w:t>The maximum permissible</w:t>
      </w:r>
      <w:r w:rsidR="00C7446A" w:rsidRPr="00943D41">
        <w:rPr>
          <w:rFonts w:ascii="Arial" w:hAnsi="Arial" w:cs="Arial"/>
        </w:rPr>
        <w:t xml:space="preserve"> drawdown</w:t>
      </w:r>
      <w:r w:rsidR="003E57EC">
        <w:rPr>
          <w:rFonts w:ascii="Arial" w:hAnsi="Arial" w:cs="Arial"/>
        </w:rPr>
        <w:t xml:space="preserve"> rates are as set out in the T</w:t>
      </w:r>
      <w:r w:rsidR="00943D41" w:rsidRPr="00943D41">
        <w:rPr>
          <w:rFonts w:ascii="Arial" w:hAnsi="Arial" w:cs="Arial"/>
        </w:rPr>
        <w:t xml:space="preserve">able </w:t>
      </w:r>
      <w:r w:rsidR="003E57EC">
        <w:rPr>
          <w:rFonts w:ascii="Arial" w:hAnsi="Arial" w:cs="Arial"/>
        </w:rPr>
        <w:t>above</w:t>
      </w:r>
      <w:r w:rsidRPr="00943D41">
        <w:rPr>
          <w:rFonts w:ascii="Arial" w:hAnsi="Arial" w:cs="Arial"/>
        </w:rPr>
        <w:t xml:space="preserve">. </w:t>
      </w:r>
    </w:p>
    <w:p w:rsidR="00515A0F" w:rsidRPr="00C57B7B" w:rsidRDefault="00943D41" w:rsidP="00C57B7B">
      <w:pPr>
        <w:pStyle w:val="ListParagraph"/>
        <w:numPr>
          <w:ilvl w:val="0"/>
          <w:numId w:val="22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The board </w:t>
      </w:r>
      <w:r w:rsidR="00306732" w:rsidRPr="00C57B7B">
        <w:rPr>
          <w:rFonts w:ascii="Arial" w:hAnsi="Arial" w:cs="Arial"/>
        </w:rPr>
        <w:t xml:space="preserve">must </w:t>
      </w:r>
      <w:r w:rsidRPr="00C57B7B">
        <w:rPr>
          <w:rFonts w:ascii="Arial" w:hAnsi="Arial" w:cs="Arial"/>
        </w:rPr>
        <w:t>determine the</w:t>
      </w:r>
      <w:r w:rsidR="00306732" w:rsidRPr="00C57B7B">
        <w:rPr>
          <w:rFonts w:ascii="Arial" w:hAnsi="Arial" w:cs="Arial"/>
        </w:rPr>
        <w:t xml:space="preserve"> appropriate drawdown</w:t>
      </w:r>
      <w:r w:rsidR="007B02EC" w:rsidRPr="00C57B7B">
        <w:rPr>
          <w:rFonts w:ascii="Arial" w:hAnsi="Arial" w:cs="Arial"/>
        </w:rPr>
        <w:t xml:space="preserve"> rate</w:t>
      </w:r>
      <w:r w:rsidR="00306732" w:rsidRPr="00C57B7B">
        <w:rPr>
          <w:rFonts w:ascii="Arial" w:hAnsi="Arial" w:cs="Arial"/>
        </w:rPr>
        <w:t xml:space="preserve">s for </w:t>
      </w:r>
      <w:r w:rsidR="00ED07D4">
        <w:rPr>
          <w:rFonts w:ascii="Arial" w:hAnsi="Arial" w:cs="Arial"/>
        </w:rPr>
        <w:t xml:space="preserve">the </w:t>
      </w:r>
      <w:r w:rsidR="002F4FBD" w:rsidRPr="00C57B7B">
        <w:rPr>
          <w:rFonts w:ascii="Arial" w:hAnsi="Arial" w:cs="Arial"/>
        </w:rPr>
        <w:t xml:space="preserve">member and </w:t>
      </w:r>
      <w:r w:rsidRPr="00C57B7B">
        <w:rPr>
          <w:rFonts w:ascii="Arial" w:hAnsi="Arial" w:cs="Arial"/>
        </w:rPr>
        <w:t>must</w:t>
      </w:r>
      <w:r w:rsidR="002F4FBD" w:rsidRPr="00C57B7B">
        <w:rPr>
          <w:rFonts w:ascii="Arial" w:hAnsi="Arial" w:cs="Arial"/>
        </w:rPr>
        <w:t xml:space="preserve"> apply lower drawdown limits, where applicable. </w:t>
      </w:r>
      <w:r w:rsidR="00515A0F" w:rsidRPr="00C57B7B">
        <w:rPr>
          <w:rFonts w:ascii="Arial" w:hAnsi="Arial" w:cs="Arial"/>
        </w:rPr>
        <w:t xml:space="preserve">For example, the drawdown rates should be lower in the following circumstances: </w:t>
      </w:r>
    </w:p>
    <w:p w:rsidR="00515A0F" w:rsidRDefault="00515A0F" w:rsidP="00497FDB">
      <w:pPr>
        <w:pStyle w:val="ListParagraph"/>
        <w:numPr>
          <w:ilvl w:val="0"/>
          <w:numId w:val="13"/>
        </w:numPr>
        <w:spacing w:after="240" w:line="360" w:lineRule="auto"/>
        <w:ind w:left="1134" w:hanging="54"/>
        <w:jc w:val="both"/>
        <w:rPr>
          <w:rFonts w:ascii="Arial" w:hAnsi="Arial" w:cs="Arial"/>
        </w:rPr>
      </w:pPr>
      <w:r>
        <w:rPr>
          <w:rFonts w:ascii="Arial" w:hAnsi="Arial" w:cs="Arial"/>
        </w:rPr>
        <w:t>Where the underlying portfolio chosen for the living annuity is conservative;</w:t>
      </w:r>
      <w:r w:rsidR="00B72732">
        <w:rPr>
          <w:rFonts w:ascii="Arial" w:hAnsi="Arial" w:cs="Arial"/>
        </w:rPr>
        <w:t xml:space="preserve"> or</w:t>
      </w:r>
    </w:p>
    <w:p w:rsidR="00515A0F" w:rsidRPr="00C57B7B" w:rsidRDefault="006C0A30" w:rsidP="00497FDB">
      <w:pPr>
        <w:pStyle w:val="ListParagraph"/>
        <w:numPr>
          <w:ilvl w:val="0"/>
          <w:numId w:val="13"/>
        </w:numPr>
        <w:spacing w:after="240" w:line="360" w:lineRule="auto"/>
        <w:ind w:left="1134" w:hanging="5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15A0F" w:rsidRPr="00C57B7B">
        <w:rPr>
          <w:rFonts w:ascii="Arial" w:hAnsi="Arial" w:cs="Arial"/>
        </w:rPr>
        <w:t xml:space="preserve">hould the annuity be in respect of </w:t>
      </w:r>
      <w:r w:rsidR="00B72732" w:rsidRPr="00C57B7B">
        <w:rPr>
          <w:rFonts w:ascii="Arial" w:hAnsi="Arial" w:cs="Arial"/>
        </w:rPr>
        <w:t xml:space="preserve">a couple, rather than an </w:t>
      </w:r>
      <w:proofErr w:type="gramStart"/>
      <w:r w:rsidR="00B72732" w:rsidRPr="00C57B7B">
        <w:rPr>
          <w:rFonts w:ascii="Arial" w:hAnsi="Arial" w:cs="Arial"/>
        </w:rPr>
        <w:t>individual.</w:t>
      </w:r>
      <w:proofErr w:type="gramEnd"/>
    </w:p>
    <w:p w:rsidR="003E57EC" w:rsidRDefault="00DF1103" w:rsidP="00C57B7B">
      <w:pPr>
        <w:pStyle w:val="ListParagraph"/>
        <w:numPr>
          <w:ilvl w:val="0"/>
          <w:numId w:val="22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While the maximum rates reflected are based on certain assumptions, over time factors change and markets move. </w:t>
      </w:r>
    </w:p>
    <w:p w:rsidR="00DF1103" w:rsidRPr="00C57B7B" w:rsidRDefault="003E57EC" w:rsidP="00C57B7B">
      <w:pPr>
        <w:pStyle w:val="ListParagraph"/>
        <w:numPr>
          <w:ilvl w:val="0"/>
          <w:numId w:val="22"/>
        </w:numPr>
        <w:tabs>
          <w:tab w:val="left" w:pos="1080"/>
        </w:tabs>
        <w:spacing w:after="240" w:line="360" w:lineRule="auto"/>
        <w:ind w:left="0" w:firstLine="567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>The T</w:t>
      </w:r>
      <w:r w:rsidR="00DF1103" w:rsidRPr="00C57B7B">
        <w:rPr>
          <w:rFonts w:ascii="Arial" w:hAnsi="Arial" w:cs="Arial"/>
        </w:rPr>
        <w:t xml:space="preserve">able defining the maximum drawdown rates </w:t>
      </w:r>
      <w:r w:rsidRPr="00C57B7B">
        <w:rPr>
          <w:rFonts w:ascii="Arial" w:hAnsi="Arial" w:cs="Arial"/>
        </w:rPr>
        <w:t>is</w:t>
      </w:r>
      <w:r w:rsidR="00DF1103" w:rsidRPr="00C57B7B">
        <w:rPr>
          <w:rFonts w:ascii="Arial" w:hAnsi="Arial" w:cs="Arial"/>
        </w:rPr>
        <w:t xml:space="preserve"> not suitable to consider reasonableness of income or its adequacy in meeting living expenses.</w:t>
      </w:r>
    </w:p>
    <w:p w:rsidR="009502D5" w:rsidRDefault="00E463F0" w:rsidP="00E463F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</w:rPr>
      </w:pPr>
      <w:r w:rsidRPr="00C4563F">
        <w:rPr>
          <w:rFonts w:ascii="Arial" w:hAnsi="Arial" w:cs="Arial"/>
          <w:b/>
          <w:bCs/>
        </w:rPr>
        <w:t>Short</w:t>
      </w:r>
      <w:r w:rsidRPr="00EE7E94">
        <w:rPr>
          <w:rFonts w:ascii="Arial" w:hAnsi="Arial" w:cs="Arial"/>
          <w:b/>
        </w:rPr>
        <w:t xml:space="preserve"> title</w:t>
      </w:r>
      <w:r w:rsidR="00947C9B">
        <w:rPr>
          <w:rFonts w:ascii="Arial" w:hAnsi="Arial" w:cs="Arial"/>
          <w:b/>
        </w:rPr>
        <w:t xml:space="preserve"> and commencement </w:t>
      </w:r>
    </w:p>
    <w:p w:rsidR="00497FDB" w:rsidRPr="003E57EC" w:rsidRDefault="00497FDB" w:rsidP="00497FDB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:rsidR="00E463F0" w:rsidRPr="00EE7E94" w:rsidRDefault="00E463F0" w:rsidP="00C57B7B">
      <w:pPr>
        <w:spacing w:after="0" w:line="360" w:lineRule="auto"/>
        <w:jc w:val="both"/>
        <w:rPr>
          <w:rFonts w:ascii="Arial" w:hAnsi="Arial" w:cs="Arial"/>
          <w:b/>
        </w:rPr>
      </w:pPr>
      <w:r w:rsidRPr="00EE7E94">
        <w:rPr>
          <w:rFonts w:ascii="Arial" w:hAnsi="Arial" w:cs="Arial"/>
        </w:rPr>
        <w:t xml:space="preserve">This </w:t>
      </w:r>
      <w:r w:rsidR="009502D5">
        <w:rPr>
          <w:rFonts w:ascii="Arial" w:hAnsi="Arial" w:cs="Arial"/>
        </w:rPr>
        <w:t>Standard</w:t>
      </w:r>
      <w:r w:rsidR="009502D5" w:rsidRPr="00EE7E94">
        <w:rPr>
          <w:rFonts w:ascii="Arial" w:hAnsi="Arial" w:cs="Arial"/>
        </w:rPr>
        <w:t xml:space="preserve"> </w:t>
      </w:r>
      <w:r w:rsidRPr="00EE7E94">
        <w:rPr>
          <w:rFonts w:ascii="Arial" w:hAnsi="Arial" w:cs="Arial"/>
        </w:rPr>
        <w:t xml:space="preserve">is called the </w:t>
      </w:r>
      <w:r>
        <w:rPr>
          <w:rFonts w:ascii="Arial" w:hAnsi="Arial" w:cs="Arial"/>
        </w:rPr>
        <w:t>Conduct Standard</w:t>
      </w:r>
      <w:r w:rsidRPr="00EE7E94">
        <w:rPr>
          <w:rFonts w:ascii="Arial" w:hAnsi="Arial" w:cs="Arial"/>
        </w:rPr>
        <w:t xml:space="preserve"> on </w:t>
      </w:r>
      <w:r w:rsidR="00DF1103">
        <w:rPr>
          <w:rFonts w:ascii="Arial" w:hAnsi="Arial" w:cs="Arial"/>
        </w:rPr>
        <w:t xml:space="preserve">Default </w:t>
      </w:r>
      <w:r>
        <w:rPr>
          <w:rFonts w:ascii="Arial" w:hAnsi="Arial" w:cs="Arial"/>
        </w:rPr>
        <w:t>Living Annuities</w:t>
      </w:r>
      <w:r w:rsidR="00947C9B">
        <w:rPr>
          <w:rFonts w:ascii="Arial" w:hAnsi="Arial" w:cs="Arial"/>
        </w:rPr>
        <w:t xml:space="preserve"> and commences on </w:t>
      </w:r>
      <w:r w:rsidR="003E57EC">
        <w:rPr>
          <w:rFonts w:ascii="Arial" w:hAnsi="Arial" w:cs="Arial"/>
        </w:rPr>
        <w:t>1 March 2019</w:t>
      </w:r>
      <w:r w:rsidRPr="00EE7E94">
        <w:rPr>
          <w:rFonts w:ascii="Arial" w:hAnsi="Arial" w:cs="Arial"/>
        </w:rPr>
        <w:t>.</w:t>
      </w:r>
    </w:p>
    <w:p w:rsidR="00C31ED6" w:rsidRDefault="00C31ED6" w:rsidP="00E1429A">
      <w:pPr>
        <w:spacing w:after="240" w:line="360" w:lineRule="auto"/>
        <w:ind w:left="720"/>
        <w:jc w:val="both"/>
        <w:rPr>
          <w:rFonts w:ascii="Arial" w:hAnsi="Arial" w:cs="Arial"/>
        </w:rPr>
      </w:pPr>
    </w:p>
    <w:sectPr w:rsidR="00C31ED6" w:rsidSect="00C032B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F1" w:rsidRDefault="007C3DF1" w:rsidP="00CC2253">
      <w:pPr>
        <w:spacing w:after="0" w:line="240" w:lineRule="auto"/>
      </w:pPr>
      <w:r>
        <w:separator/>
      </w:r>
    </w:p>
  </w:endnote>
  <w:endnote w:type="continuationSeparator" w:id="0">
    <w:p w:rsidR="007C3DF1" w:rsidRDefault="007C3DF1" w:rsidP="00CC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4" w:rsidRDefault="005B5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4" w:rsidRDefault="005B5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4" w:rsidRDefault="005B5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F1" w:rsidRDefault="007C3DF1" w:rsidP="00CC2253">
      <w:pPr>
        <w:spacing w:after="0" w:line="240" w:lineRule="auto"/>
      </w:pPr>
      <w:r>
        <w:separator/>
      </w:r>
    </w:p>
  </w:footnote>
  <w:footnote w:type="continuationSeparator" w:id="0">
    <w:p w:rsidR="007C3DF1" w:rsidRDefault="007C3DF1" w:rsidP="00CC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4" w:rsidRDefault="005B5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25" w:rsidRDefault="000E2525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4676860" wp14:editId="2E1BF2E2">
          <wp:simplePos x="0" y="0"/>
          <wp:positionH relativeFrom="column">
            <wp:posOffset>-882015</wp:posOffset>
          </wp:positionH>
          <wp:positionV relativeFrom="paragraph">
            <wp:posOffset>-337710</wp:posOffset>
          </wp:positionV>
          <wp:extent cx="4532244" cy="934360"/>
          <wp:effectExtent l="0" t="0" r="1905" b="0"/>
          <wp:wrapNone/>
          <wp:docPr id="1" name="Picture 1" descr="FSCA Memo - Template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A Memo - Template hea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244" cy="93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96567"/>
      <w:docPartObj>
        <w:docPartGallery w:val="Watermarks"/>
        <w:docPartUnique/>
      </w:docPartObj>
    </w:sdtPr>
    <w:sdtEndPr/>
    <w:sdtContent>
      <w:p w:rsidR="005B5594" w:rsidRDefault="004D036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4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7D6"/>
    <w:multiLevelType w:val="hybridMultilevel"/>
    <w:tmpl w:val="F2DA38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14B8"/>
    <w:multiLevelType w:val="hybridMultilevel"/>
    <w:tmpl w:val="FC063294"/>
    <w:lvl w:ilvl="0" w:tplc="A288B122">
      <w:start w:val="1"/>
      <w:numFmt w:val="lowerLetter"/>
      <w:lvlText w:val="(%1)"/>
      <w:lvlJc w:val="left"/>
      <w:pPr>
        <w:ind w:left="186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42F3F3E"/>
    <w:multiLevelType w:val="hybridMultilevel"/>
    <w:tmpl w:val="F8C2CA0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3ADB"/>
    <w:multiLevelType w:val="hybridMultilevel"/>
    <w:tmpl w:val="4C048EB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0620"/>
    <w:multiLevelType w:val="hybridMultilevel"/>
    <w:tmpl w:val="65FE44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85862"/>
    <w:multiLevelType w:val="hybridMultilevel"/>
    <w:tmpl w:val="E4BA4168"/>
    <w:lvl w:ilvl="0" w:tplc="2640B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57B8"/>
    <w:multiLevelType w:val="hybridMultilevel"/>
    <w:tmpl w:val="2AEAAFF2"/>
    <w:lvl w:ilvl="0" w:tplc="2640B0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3435E"/>
    <w:multiLevelType w:val="hybridMultilevel"/>
    <w:tmpl w:val="A7A4E0B4"/>
    <w:lvl w:ilvl="0" w:tplc="60529A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03DF6"/>
    <w:multiLevelType w:val="hybridMultilevel"/>
    <w:tmpl w:val="F1248C94"/>
    <w:lvl w:ilvl="0" w:tplc="8AFA3C32">
      <w:start w:val="1"/>
      <w:numFmt w:val="lowerLetter"/>
      <w:lvlText w:val="(%1)"/>
      <w:lvlJc w:val="left"/>
      <w:pPr>
        <w:ind w:left="222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943" w:hanging="360"/>
      </w:pPr>
    </w:lvl>
    <w:lvl w:ilvl="2" w:tplc="0409001B" w:tentative="1">
      <w:start w:val="1"/>
      <w:numFmt w:val="lowerRoman"/>
      <w:lvlText w:val="%3."/>
      <w:lvlJc w:val="right"/>
      <w:pPr>
        <w:ind w:left="3663" w:hanging="180"/>
      </w:pPr>
    </w:lvl>
    <w:lvl w:ilvl="3" w:tplc="0409000F" w:tentative="1">
      <w:start w:val="1"/>
      <w:numFmt w:val="decimal"/>
      <w:lvlText w:val="%4."/>
      <w:lvlJc w:val="left"/>
      <w:pPr>
        <w:ind w:left="4383" w:hanging="360"/>
      </w:pPr>
    </w:lvl>
    <w:lvl w:ilvl="4" w:tplc="04090019" w:tentative="1">
      <w:start w:val="1"/>
      <w:numFmt w:val="lowerLetter"/>
      <w:lvlText w:val="%5."/>
      <w:lvlJc w:val="left"/>
      <w:pPr>
        <w:ind w:left="5103" w:hanging="360"/>
      </w:pPr>
    </w:lvl>
    <w:lvl w:ilvl="5" w:tplc="0409001B" w:tentative="1">
      <w:start w:val="1"/>
      <w:numFmt w:val="lowerRoman"/>
      <w:lvlText w:val="%6."/>
      <w:lvlJc w:val="right"/>
      <w:pPr>
        <w:ind w:left="5823" w:hanging="180"/>
      </w:pPr>
    </w:lvl>
    <w:lvl w:ilvl="6" w:tplc="0409000F" w:tentative="1">
      <w:start w:val="1"/>
      <w:numFmt w:val="decimal"/>
      <w:lvlText w:val="%7."/>
      <w:lvlJc w:val="left"/>
      <w:pPr>
        <w:ind w:left="6543" w:hanging="360"/>
      </w:pPr>
    </w:lvl>
    <w:lvl w:ilvl="7" w:tplc="04090019" w:tentative="1">
      <w:start w:val="1"/>
      <w:numFmt w:val="lowerLetter"/>
      <w:lvlText w:val="%8."/>
      <w:lvlJc w:val="left"/>
      <w:pPr>
        <w:ind w:left="7263" w:hanging="360"/>
      </w:pPr>
    </w:lvl>
    <w:lvl w:ilvl="8" w:tplc="040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9">
    <w:nsid w:val="15C67688"/>
    <w:multiLevelType w:val="hybridMultilevel"/>
    <w:tmpl w:val="457AB7F0"/>
    <w:lvl w:ilvl="0" w:tplc="A288B122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B646F1"/>
    <w:multiLevelType w:val="hybridMultilevel"/>
    <w:tmpl w:val="7D3AAF18"/>
    <w:lvl w:ilvl="0" w:tplc="2FC06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02893"/>
    <w:multiLevelType w:val="hybridMultilevel"/>
    <w:tmpl w:val="82322DA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B72768"/>
    <w:multiLevelType w:val="hybridMultilevel"/>
    <w:tmpl w:val="1BAA9794"/>
    <w:lvl w:ilvl="0" w:tplc="F998E6C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0F28"/>
    <w:multiLevelType w:val="multilevel"/>
    <w:tmpl w:val="732A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C4020A2"/>
    <w:multiLevelType w:val="hybridMultilevel"/>
    <w:tmpl w:val="2FCC12D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833FEB"/>
    <w:multiLevelType w:val="multilevel"/>
    <w:tmpl w:val="C7EAFB22"/>
    <w:lvl w:ilvl="0">
      <w:start w:val="1"/>
      <w:numFmt w:val="decimal"/>
      <w:lvlText w:val="%1"/>
      <w:lvlJc w:val="left"/>
      <w:pPr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512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(%7)"/>
      <w:lvlJc w:val="left"/>
      <w:pPr>
        <w:ind w:left="5266" w:hanging="1296"/>
      </w:pPr>
      <w:rPr>
        <w:rFonts w:ascii="Arial" w:eastAsiaTheme="minorHAnsi" w:hAnsi="Arial" w:cs="Times New Roman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4" w:hanging="1584"/>
      </w:pPr>
      <w:rPr>
        <w:rFonts w:hint="default"/>
      </w:rPr>
    </w:lvl>
  </w:abstractNum>
  <w:abstractNum w:abstractNumId="16">
    <w:nsid w:val="4AA5667F"/>
    <w:multiLevelType w:val="hybridMultilevel"/>
    <w:tmpl w:val="DC041848"/>
    <w:lvl w:ilvl="0" w:tplc="2FC0680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357879"/>
    <w:multiLevelType w:val="hybridMultilevel"/>
    <w:tmpl w:val="1AEEA4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02DA5"/>
    <w:multiLevelType w:val="hybridMultilevel"/>
    <w:tmpl w:val="B484C0DE"/>
    <w:lvl w:ilvl="0" w:tplc="A288B122">
      <w:start w:val="1"/>
      <w:numFmt w:val="lowerLetter"/>
      <w:lvlText w:val="(%1)"/>
      <w:lvlJc w:val="left"/>
      <w:pPr>
        <w:ind w:left="150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9">
    <w:nsid w:val="6FE2103E"/>
    <w:multiLevelType w:val="hybridMultilevel"/>
    <w:tmpl w:val="10501BB0"/>
    <w:lvl w:ilvl="0" w:tplc="8AFA3C32">
      <w:start w:val="1"/>
      <w:numFmt w:val="lowerLetter"/>
      <w:lvlText w:val="(%1)"/>
      <w:lvlJc w:val="left"/>
      <w:pPr>
        <w:ind w:left="1440" w:hanging="360"/>
      </w:pPr>
      <w:rPr>
        <w:rFonts w:hint="default"/>
        <w:i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36130B"/>
    <w:multiLevelType w:val="hybridMultilevel"/>
    <w:tmpl w:val="8DD492B6"/>
    <w:lvl w:ilvl="0" w:tplc="8AFA3C3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641A4"/>
    <w:multiLevelType w:val="hybridMultilevel"/>
    <w:tmpl w:val="E5404AC6"/>
    <w:lvl w:ilvl="0" w:tplc="2FC06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00CED"/>
    <w:multiLevelType w:val="hybridMultilevel"/>
    <w:tmpl w:val="89C6D608"/>
    <w:lvl w:ilvl="0" w:tplc="BA0AA0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2349B"/>
    <w:multiLevelType w:val="hybridMultilevel"/>
    <w:tmpl w:val="5DE0CD50"/>
    <w:lvl w:ilvl="0" w:tplc="A288B122">
      <w:start w:val="1"/>
      <w:numFmt w:val="lowerLetter"/>
      <w:lvlText w:val="(%1)"/>
      <w:lvlJc w:val="left"/>
      <w:pPr>
        <w:ind w:left="2358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3078" w:hanging="360"/>
      </w:pPr>
    </w:lvl>
    <w:lvl w:ilvl="2" w:tplc="1C09001B" w:tentative="1">
      <w:start w:val="1"/>
      <w:numFmt w:val="lowerRoman"/>
      <w:lvlText w:val="%3."/>
      <w:lvlJc w:val="right"/>
      <w:pPr>
        <w:ind w:left="3798" w:hanging="180"/>
      </w:pPr>
    </w:lvl>
    <w:lvl w:ilvl="3" w:tplc="1C09000F" w:tentative="1">
      <w:start w:val="1"/>
      <w:numFmt w:val="decimal"/>
      <w:lvlText w:val="%4."/>
      <w:lvlJc w:val="left"/>
      <w:pPr>
        <w:ind w:left="4518" w:hanging="360"/>
      </w:pPr>
    </w:lvl>
    <w:lvl w:ilvl="4" w:tplc="1C090019" w:tentative="1">
      <w:start w:val="1"/>
      <w:numFmt w:val="lowerLetter"/>
      <w:lvlText w:val="%5."/>
      <w:lvlJc w:val="left"/>
      <w:pPr>
        <w:ind w:left="5238" w:hanging="360"/>
      </w:pPr>
    </w:lvl>
    <w:lvl w:ilvl="5" w:tplc="1C09001B" w:tentative="1">
      <w:start w:val="1"/>
      <w:numFmt w:val="lowerRoman"/>
      <w:lvlText w:val="%6."/>
      <w:lvlJc w:val="right"/>
      <w:pPr>
        <w:ind w:left="5958" w:hanging="180"/>
      </w:pPr>
    </w:lvl>
    <w:lvl w:ilvl="6" w:tplc="1C09000F" w:tentative="1">
      <w:start w:val="1"/>
      <w:numFmt w:val="decimal"/>
      <w:lvlText w:val="%7."/>
      <w:lvlJc w:val="left"/>
      <w:pPr>
        <w:ind w:left="6678" w:hanging="360"/>
      </w:pPr>
    </w:lvl>
    <w:lvl w:ilvl="7" w:tplc="1C090019" w:tentative="1">
      <w:start w:val="1"/>
      <w:numFmt w:val="lowerLetter"/>
      <w:lvlText w:val="%8."/>
      <w:lvlJc w:val="left"/>
      <w:pPr>
        <w:ind w:left="7398" w:hanging="360"/>
      </w:pPr>
    </w:lvl>
    <w:lvl w:ilvl="8" w:tplc="1C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24">
    <w:nsid w:val="7E8E621F"/>
    <w:multiLevelType w:val="hybridMultilevel"/>
    <w:tmpl w:val="21F2B2FC"/>
    <w:lvl w:ilvl="0" w:tplc="F998E6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7"/>
  </w:num>
  <w:num w:numId="7">
    <w:abstractNumId w:val="5"/>
  </w:num>
  <w:num w:numId="8">
    <w:abstractNumId w:val="13"/>
  </w:num>
  <w:num w:numId="9">
    <w:abstractNumId w:val="15"/>
  </w:num>
  <w:num w:numId="10">
    <w:abstractNumId w:val="14"/>
  </w:num>
  <w:num w:numId="11">
    <w:abstractNumId w:val="11"/>
  </w:num>
  <w:num w:numId="12">
    <w:abstractNumId w:val="9"/>
  </w:num>
  <w:num w:numId="13">
    <w:abstractNumId w:val="19"/>
  </w:num>
  <w:num w:numId="14">
    <w:abstractNumId w:val="23"/>
  </w:num>
  <w:num w:numId="15">
    <w:abstractNumId w:val="18"/>
  </w:num>
  <w:num w:numId="16">
    <w:abstractNumId w:val="22"/>
  </w:num>
  <w:num w:numId="17">
    <w:abstractNumId w:val="12"/>
  </w:num>
  <w:num w:numId="18">
    <w:abstractNumId w:val="24"/>
  </w:num>
  <w:num w:numId="19">
    <w:abstractNumId w:val="1"/>
  </w:num>
  <w:num w:numId="20">
    <w:abstractNumId w:val="7"/>
  </w:num>
  <w:num w:numId="21">
    <w:abstractNumId w:val="8"/>
  </w:num>
  <w:num w:numId="22">
    <w:abstractNumId w:val="16"/>
  </w:num>
  <w:num w:numId="23">
    <w:abstractNumId w:val="20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0"/>
    <w:rsid w:val="00045752"/>
    <w:rsid w:val="000832F7"/>
    <w:rsid w:val="000858B5"/>
    <w:rsid w:val="000C781F"/>
    <w:rsid w:val="000E2525"/>
    <w:rsid w:val="00105E30"/>
    <w:rsid w:val="00121A01"/>
    <w:rsid w:val="001557B9"/>
    <w:rsid w:val="001C3B86"/>
    <w:rsid w:val="001F1D06"/>
    <w:rsid w:val="00204A5F"/>
    <w:rsid w:val="00220CE2"/>
    <w:rsid w:val="00224D80"/>
    <w:rsid w:val="00241092"/>
    <w:rsid w:val="00283CEE"/>
    <w:rsid w:val="002C3BAF"/>
    <w:rsid w:val="002F4FBD"/>
    <w:rsid w:val="00306732"/>
    <w:rsid w:val="003171D7"/>
    <w:rsid w:val="0032485E"/>
    <w:rsid w:val="0034132D"/>
    <w:rsid w:val="00380BC6"/>
    <w:rsid w:val="003B4396"/>
    <w:rsid w:val="003B6B21"/>
    <w:rsid w:val="003C0643"/>
    <w:rsid w:val="003E57EC"/>
    <w:rsid w:val="00401A75"/>
    <w:rsid w:val="00456598"/>
    <w:rsid w:val="004677E3"/>
    <w:rsid w:val="00467EB1"/>
    <w:rsid w:val="00482022"/>
    <w:rsid w:val="00497FDB"/>
    <w:rsid w:val="004B1FFA"/>
    <w:rsid w:val="004D0364"/>
    <w:rsid w:val="004E4E1F"/>
    <w:rsid w:val="00502298"/>
    <w:rsid w:val="005029F7"/>
    <w:rsid w:val="00515A0F"/>
    <w:rsid w:val="00525906"/>
    <w:rsid w:val="0055138E"/>
    <w:rsid w:val="00564EC3"/>
    <w:rsid w:val="00567247"/>
    <w:rsid w:val="00570673"/>
    <w:rsid w:val="005950E0"/>
    <w:rsid w:val="005B5594"/>
    <w:rsid w:val="00602CFC"/>
    <w:rsid w:val="00610521"/>
    <w:rsid w:val="006147A8"/>
    <w:rsid w:val="006544F3"/>
    <w:rsid w:val="00695706"/>
    <w:rsid w:val="00696EA7"/>
    <w:rsid w:val="006B2BA6"/>
    <w:rsid w:val="006C0A30"/>
    <w:rsid w:val="006E5EBC"/>
    <w:rsid w:val="007075EC"/>
    <w:rsid w:val="0071535E"/>
    <w:rsid w:val="00783E2E"/>
    <w:rsid w:val="007856B2"/>
    <w:rsid w:val="007B02EC"/>
    <w:rsid w:val="007C3DF1"/>
    <w:rsid w:val="00863DC0"/>
    <w:rsid w:val="008C6DA1"/>
    <w:rsid w:val="0091293D"/>
    <w:rsid w:val="00940213"/>
    <w:rsid w:val="00943D41"/>
    <w:rsid w:val="00947C9B"/>
    <w:rsid w:val="009502D5"/>
    <w:rsid w:val="009E018A"/>
    <w:rsid w:val="009F55B5"/>
    <w:rsid w:val="00A22A93"/>
    <w:rsid w:val="00A44843"/>
    <w:rsid w:val="00A6448C"/>
    <w:rsid w:val="00B0718B"/>
    <w:rsid w:val="00B22703"/>
    <w:rsid w:val="00B37CB7"/>
    <w:rsid w:val="00B72732"/>
    <w:rsid w:val="00B76825"/>
    <w:rsid w:val="00BB675A"/>
    <w:rsid w:val="00BC0767"/>
    <w:rsid w:val="00BE2711"/>
    <w:rsid w:val="00BE3D1A"/>
    <w:rsid w:val="00C032BD"/>
    <w:rsid w:val="00C20FE3"/>
    <w:rsid w:val="00C31ED6"/>
    <w:rsid w:val="00C41EF6"/>
    <w:rsid w:val="00C47F56"/>
    <w:rsid w:val="00C57B7B"/>
    <w:rsid w:val="00C7446A"/>
    <w:rsid w:val="00CA5D66"/>
    <w:rsid w:val="00CC05A4"/>
    <w:rsid w:val="00CC2253"/>
    <w:rsid w:val="00CF18B6"/>
    <w:rsid w:val="00D02FA2"/>
    <w:rsid w:val="00D052F5"/>
    <w:rsid w:val="00D12624"/>
    <w:rsid w:val="00D40E18"/>
    <w:rsid w:val="00D421B3"/>
    <w:rsid w:val="00D53BA2"/>
    <w:rsid w:val="00D777BF"/>
    <w:rsid w:val="00D8467E"/>
    <w:rsid w:val="00DC47D9"/>
    <w:rsid w:val="00DD2070"/>
    <w:rsid w:val="00DF1103"/>
    <w:rsid w:val="00E074D7"/>
    <w:rsid w:val="00E13EF7"/>
    <w:rsid w:val="00E1429A"/>
    <w:rsid w:val="00E411AB"/>
    <w:rsid w:val="00E463F0"/>
    <w:rsid w:val="00E52425"/>
    <w:rsid w:val="00E80DAA"/>
    <w:rsid w:val="00E84699"/>
    <w:rsid w:val="00E8724B"/>
    <w:rsid w:val="00EB5C0F"/>
    <w:rsid w:val="00ED07D4"/>
    <w:rsid w:val="00F05A44"/>
    <w:rsid w:val="00F1089C"/>
    <w:rsid w:val="00F12467"/>
    <w:rsid w:val="00F16BB8"/>
    <w:rsid w:val="00F63D73"/>
    <w:rsid w:val="00F65231"/>
    <w:rsid w:val="00F77013"/>
    <w:rsid w:val="00FA6E16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270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22703"/>
    <w:pPr>
      <w:keepNext w:val="0"/>
      <w:tabs>
        <w:tab w:val="left" w:pos="851"/>
      </w:tabs>
      <w:spacing w:line="276" w:lineRule="auto"/>
      <w:ind w:left="1286" w:hanging="576"/>
      <w:jc w:val="both"/>
      <w:outlineLvl w:val="1"/>
    </w:pPr>
    <w:rPr>
      <w:rFonts w:eastAsiaTheme="minorHAnsi" w:cstheme="minorBidi"/>
      <w:bCs w:val="0"/>
      <w:smallCaps/>
      <w:sz w:val="22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D7"/>
    <w:pPr>
      <w:ind w:left="720"/>
      <w:contextualSpacing/>
    </w:pPr>
  </w:style>
  <w:style w:type="character" w:customStyle="1" w:styleId="ilfuvd">
    <w:name w:val="ilfuvd"/>
    <w:basedOn w:val="DefaultParagraphFont"/>
    <w:rsid w:val="002F4FBD"/>
  </w:style>
  <w:style w:type="character" w:customStyle="1" w:styleId="Heading1Char">
    <w:name w:val="Heading 1 Char"/>
    <w:basedOn w:val="DefaultParagraphFont"/>
    <w:link w:val="Heading1"/>
    <w:rsid w:val="00B22703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B22703"/>
    <w:pPr>
      <w:tabs>
        <w:tab w:val="num" w:pos="540"/>
        <w:tab w:val="left" w:pos="1080"/>
      </w:tabs>
      <w:spacing w:after="0" w:line="240" w:lineRule="auto"/>
      <w:ind w:left="540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22703"/>
    <w:rPr>
      <w:rFonts w:ascii="Arial" w:eastAsia="Times New Roman" w:hAnsi="Arial" w:cs="Arial"/>
      <w:sz w:val="24"/>
      <w:szCs w:val="24"/>
      <w:lang w:val="en-GB"/>
    </w:rPr>
  </w:style>
  <w:style w:type="paragraph" w:customStyle="1" w:styleId="Footnote">
    <w:name w:val="Footnote"/>
    <w:basedOn w:val="Normal"/>
    <w:link w:val="FootnoteChar"/>
    <w:qFormat/>
    <w:rsid w:val="00B22703"/>
    <w:pPr>
      <w:widowControl w:val="0"/>
      <w:suppressAutoHyphens/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color w:val="000000"/>
      <w:sz w:val="18"/>
      <w:lang w:val="en-AU" w:eastAsia="en-AU"/>
    </w:rPr>
  </w:style>
  <w:style w:type="character" w:customStyle="1" w:styleId="FootnoteChar">
    <w:name w:val="Footnote Char"/>
    <w:link w:val="Footnote"/>
    <w:rsid w:val="00B22703"/>
    <w:rPr>
      <w:rFonts w:ascii="Times New Roman" w:eastAsia="Times New Roman" w:hAnsi="Times New Roman" w:cs="Times New Roman"/>
      <w:color w:val="000000"/>
      <w:sz w:val="18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B22703"/>
    <w:rPr>
      <w:rFonts w:ascii="Arial" w:hAnsi="Arial"/>
      <w:b/>
      <w:smallCaps/>
      <w:szCs w:val="20"/>
      <w:lang w:val="en-GB" w:eastAsia="en-ZA"/>
    </w:rPr>
  </w:style>
  <w:style w:type="paragraph" w:customStyle="1" w:styleId="Para2">
    <w:name w:val="Para2"/>
    <w:basedOn w:val="Heading2"/>
    <w:next w:val="Normal"/>
    <w:link w:val="Para2Char"/>
    <w:qFormat/>
    <w:rsid w:val="00B22703"/>
    <w:rPr>
      <w:b w:val="0"/>
      <w:smallCaps w:val="0"/>
    </w:rPr>
  </w:style>
  <w:style w:type="character" w:customStyle="1" w:styleId="Para2Char">
    <w:name w:val="Para2 Char"/>
    <w:basedOn w:val="DefaultParagraphFont"/>
    <w:link w:val="Para2"/>
    <w:rsid w:val="00B22703"/>
    <w:rPr>
      <w:rFonts w:ascii="Arial" w:hAnsi="Arial"/>
      <w:szCs w:val="20"/>
      <w:lang w:val="en-GB" w:eastAsia="en-ZA"/>
    </w:rPr>
  </w:style>
  <w:style w:type="paragraph" w:customStyle="1" w:styleId="Para3">
    <w:name w:val="Para3"/>
    <w:basedOn w:val="Para2"/>
    <w:next w:val="Normal"/>
    <w:qFormat/>
    <w:rsid w:val="00B22703"/>
    <w:pPr>
      <w:tabs>
        <w:tab w:val="clear" w:pos="851"/>
        <w:tab w:val="left" w:pos="1276"/>
      </w:tabs>
      <w:ind w:left="2160" w:hanging="180"/>
    </w:pPr>
  </w:style>
  <w:style w:type="paragraph" w:customStyle="1" w:styleId="Para4">
    <w:name w:val="Para4"/>
    <w:basedOn w:val="Para3"/>
    <w:next w:val="Normal"/>
    <w:qFormat/>
    <w:rsid w:val="00B22703"/>
    <w:pPr>
      <w:widowControl w:val="0"/>
      <w:tabs>
        <w:tab w:val="clear" w:pos="1276"/>
        <w:tab w:val="left" w:pos="1701"/>
        <w:tab w:val="left" w:pos="5103"/>
      </w:tabs>
      <w:ind w:left="1701" w:hanging="1701"/>
    </w:pPr>
    <w:rPr>
      <w:rFonts w:cs="Times New Roman"/>
    </w:rPr>
  </w:style>
  <w:style w:type="paragraph" w:customStyle="1" w:styleId="Para6">
    <w:name w:val="Para6"/>
    <w:basedOn w:val="Para5"/>
    <w:next w:val="Normal"/>
    <w:qFormat/>
    <w:rsid w:val="00B22703"/>
    <w:pPr>
      <w:tabs>
        <w:tab w:val="clear" w:pos="2127"/>
        <w:tab w:val="left" w:pos="2552"/>
      </w:tabs>
      <w:ind w:left="2552" w:hanging="2552"/>
    </w:pPr>
  </w:style>
  <w:style w:type="paragraph" w:customStyle="1" w:styleId="Para5">
    <w:name w:val="Para5"/>
    <w:basedOn w:val="Para4"/>
    <w:next w:val="Normal"/>
    <w:qFormat/>
    <w:rsid w:val="00B22703"/>
    <w:pPr>
      <w:tabs>
        <w:tab w:val="clear" w:pos="1701"/>
        <w:tab w:val="left" w:pos="2127"/>
      </w:tabs>
      <w:ind w:left="2127" w:hanging="2127"/>
    </w:pPr>
    <w:rPr>
      <w:color w:val="000000" w:themeColor="text1" w:themeShade="BF"/>
    </w:rPr>
  </w:style>
  <w:style w:type="paragraph" w:customStyle="1" w:styleId="1stNormal">
    <w:name w:val="1st Normal"/>
    <w:basedOn w:val="Normal"/>
    <w:link w:val="1stNormalChar"/>
    <w:qFormat/>
    <w:rsid w:val="00B22703"/>
    <w:pPr>
      <w:widowControl w:val="0"/>
      <w:spacing w:after="0" w:line="312" w:lineRule="auto"/>
      <w:ind w:left="284" w:hanging="284"/>
      <w:jc w:val="both"/>
    </w:pPr>
    <w:rPr>
      <w:rFonts w:ascii="Arial" w:hAnsi="Arial" w:cs="Arial"/>
      <w:lang w:val="en-US"/>
    </w:rPr>
  </w:style>
  <w:style w:type="character" w:customStyle="1" w:styleId="1stNormalChar">
    <w:name w:val="1st Normal Char"/>
    <w:link w:val="1stNormal"/>
    <w:locked/>
    <w:rsid w:val="00B22703"/>
    <w:rPr>
      <w:rFonts w:ascii="Arial" w:hAnsi="Arial" w:cs="Arial"/>
      <w:lang w:val="en-US"/>
    </w:rPr>
  </w:style>
  <w:style w:type="paragraph" w:customStyle="1" w:styleId="Bodytext1">
    <w:name w:val="Body text 1"/>
    <w:basedOn w:val="BodyTextIndent"/>
    <w:link w:val="Bodytext1Char"/>
    <w:qFormat/>
    <w:rsid w:val="00B22703"/>
    <w:pPr>
      <w:widowControl w:val="0"/>
      <w:tabs>
        <w:tab w:val="clear" w:pos="540"/>
        <w:tab w:val="clear" w:pos="1080"/>
        <w:tab w:val="left" w:pos="425"/>
      </w:tabs>
      <w:spacing w:line="312" w:lineRule="auto"/>
      <w:ind w:left="425"/>
      <w:jc w:val="both"/>
      <w:outlineLvl w:val="0"/>
    </w:pPr>
    <w:rPr>
      <w:rFonts w:eastAsia="Calibri"/>
      <w:bCs/>
      <w:sz w:val="22"/>
      <w:szCs w:val="22"/>
      <w:lang w:val="en-US"/>
    </w:rPr>
  </w:style>
  <w:style w:type="character" w:customStyle="1" w:styleId="Bodytext1Char">
    <w:name w:val="Body text 1 Char"/>
    <w:basedOn w:val="DefaultParagraphFont"/>
    <w:link w:val="Bodytext1"/>
    <w:rsid w:val="00B22703"/>
    <w:rPr>
      <w:rFonts w:ascii="Arial" w:eastAsia="Calibri" w:hAnsi="Arial" w:cs="Arial"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6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53"/>
  </w:style>
  <w:style w:type="paragraph" w:styleId="Footer">
    <w:name w:val="footer"/>
    <w:basedOn w:val="Normal"/>
    <w:link w:val="FooterChar"/>
    <w:uiPriority w:val="99"/>
    <w:unhideWhenUsed/>
    <w:rsid w:val="00CC2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53"/>
  </w:style>
  <w:style w:type="character" w:styleId="Hyperlink">
    <w:name w:val="Hyperlink"/>
    <w:uiPriority w:val="99"/>
    <w:unhideWhenUsed/>
    <w:rsid w:val="00CC2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270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22703"/>
    <w:pPr>
      <w:keepNext w:val="0"/>
      <w:tabs>
        <w:tab w:val="left" w:pos="851"/>
      </w:tabs>
      <w:spacing w:line="276" w:lineRule="auto"/>
      <w:ind w:left="1286" w:hanging="576"/>
      <w:jc w:val="both"/>
      <w:outlineLvl w:val="1"/>
    </w:pPr>
    <w:rPr>
      <w:rFonts w:eastAsiaTheme="minorHAnsi" w:cstheme="minorBidi"/>
      <w:bCs w:val="0"/>
      <w:smallCaps/>
      <w:sz w:val="22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D7"/>
    <w:pPr>
      <w:ind w:left="720"/>
      <w:contextualSpacing/>
    </w:pPr>
  </w:style>
  <w:style w:type="character" w:customStyle="1" w:styleId="ilfuvd">
    <w:name w:val="ilfuvd"/>
    <w:basedOn w:val="DefaultParagraphFont"/>
    <w:rsid w:val="002F4FBD"/>
  </w:style>
  <w:style w:type="character" w:customStyle="1" w:styleId="Heading1Char">
    <w:name w:val="Heading 1 Char"/>
    <w:basedOn w:val="DefaultParagraphFont"/>
    <w:link w:val="Heading1"/>
    <w:rsid w:val="00B22703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rsid w:val="00B22703"/>
    <w:pPr>
      <w:tabs>
        <w:tab w:val="num" w:pos="540"/>
        <w:tab w:val="left" w:pos="1080"/>
      </w:tabs>
      <w:spacing w:after="0" w:line="240" w:lineRule="auto"/>
      <w:ind w:left="540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22703"/>
    <w:rPr>
      <w:rFonts w:ascii="Arial" w:eastAsia="Times New Roman" w:hAnsi="Arial" w:cs="Arial"/>
      <w:sz w:val="24"/>
      <w:szCs w:val="24"/>
      <w:lang w:val="en-GB"/>
    </w:rPr>
  </w:style>
  <w:style w:type="paragraph" w:customStyle="1" w:styleId="Footnote">
    <w:name w:val="Footnote"/>
    <w:basedOn w:val="Normal"/>
    <w:link w:val="FootnoteChar"/>
    <w:qFormat/>
    <w:rsid w:val="00B22703"/>
    <w:pPr>
      <w:widowControl w:val="0"/>
      <w:suppressAutoHyphens/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color w:val="000000"/>
      <w:sz w:val="18"/>
      <w:lang w:val="en-AU" w:eastAsia="en-AU"/>
    </w:rPr>
  </w:style>
  <w:style w:type="character" w:customStyle="1" w:styleId="FootnoteChar">
    <w:name w:val="Footnote Char"/>
    <w:link w:val="Footnote"/>
    <w:rsid w:val="00B22703"/>
    <w:rPr>
      <w:rFonts w:ascii="Times New Roman" w:eastAsia="Times New Roman" w:hAnsi="Times New Roman" w:cs="Times New Roman"/>
      <w:color w:val="000000"/>
      <w:sz w:val="18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B22703"/>
    <w:rPr>
      <w:rFonts w:ascii="Arial" w:hAnsi="Arial"/>
      <w:b/>
      <w:smallCaps/>
      <w:szCs w:val="20"/>
      <w:lang w:val="en-GB" w:eastAsia="en-ZA"/>
    </w:rPr>
  </w:style>
  <w:style w:type="paragraph" w:customStyle="1" w:styleId="Para2">
    <w:name w:val="Para2"/>
    <w:basedOn w:val="Heading2"/>
    <w:next w:val="Normal"/>
    <w:link w:val="Para2Char"/>
    <w:qFormat/>
    <w:rsid w:val="00B22703"/>
    <w:rPr>
      <w:b w:val="0"/>
      <w:smallCaps w:val="0"/>
    </w:rPr>
  </w:style>
  <w:style w:type="character" w:customStyle="1" w:styleId="Para2Char">
    <w:name w:val="Para2 Char"/>
    <w:basedOn w:val="DefaultParagraphFont"/>
    <w:link w:val="Para2"/>
    <w:rsid w:val="00B22703"/>
    <w:rPr>
      <w:rFonts w:ascii="Arial" w:hAnsi="Arial"/>
      <w:szCs w:val="20"/>
      <w:lang w:val="en-GB" w:eastAsia="en-ZA"/>
    </w:rPr>
  </w:style>
  <w:style w:type="paragraph" w:customStyle="1" w:styleId="Para3">
    <w:name w:val="Para3"/>
    <w:basedOn w:val="Para2"/>
    <w:next w:val="Normal"/>
    <w:qFormat/>
    <w:rsid w:val="00B22703"/>
    <w:pPr>
      <w:tabs>
        <w:tab w:val="clear" w:pos="851"/>
        <w:tab w:val="left" w:pos="1276"/>
      </w:tabs>
      <w:ind w:left="2160" w:hanging="180"/>
    </w:pPr>
  </w:style>
  <w:style w:type="paragraph" w:customStyle="1" w:styleId="Para4">
    <w:name w:val="Para4"/>
    <w:basedOn w:val="Para3"/>
    <w:next w:val="Normal"/>
    <w:qFormat/>
    <w:rsid w:val="00B22703"/>
    <w:pPr>
      <w:widowControl w:val="0"/>
      <w:tabs>
        <w:tab w:val="clear" w:pos="1276"/>
        <w:tab w:val="left" w:pos="1701"/>
        <w:tab w:val="left" w:pos="5103"/>
      </w:tabs>
      <w:ind w:left="1701" w:hanging="1701"/>
    </w:pPr>
    <w:rPr>
      <w:rFonts w:cs="Times New Roman"/>
    </w:rPr>
  </w:style>
  <w:style w:type="paragraph" w:customStyle="1" w:styleId="Para6">
    <w:name w:val="Para6"/>
    <w:basedOn w:val="Para5"/>
    <w:next w:val="Normal"/>
    <w:qFormat/>
    <w:rsid w:val="00B22703"/>
    <w:pPr>
      <w:tabs>
        <w:tab w:val="clear" w:pos="2127"/>
        <w:tab w:val="left" w:pos="2552"/>
      </w:tabs>
      <w:ind w:left="2552" w:hanging="2552"/>
    </w:pPr>
  </w:style>
  <w:style w:type="paragraph" w:customStyle="1" w:styleId="Para5">
    <w:name w:val="Para5"/>
    <w:basedOn w:val="Para4"/>
    <w:next w:val="Normal"/>
    <w:qFormat/>
    <w:rsid w:val="00B22703"/>
    <w:pPr>
      <w:tabs>
        <w:tab w:val="clear" w:pos="1701"/>
        <w:tab w:val="left" w:pos="2127"/>
      </w:tabs>
      <w:ind w:left="2127" w:hanging="2127"/>
    </w:pPr>
    <w:rPr>
      <w:color w:val="000000" w:themeColor="text1" w:themeShade="BF"/>
    </w:rPr>
  </w:style>
  <w:style w:type="paragraph" w:customStyle="1" w:styleId="1stNormal">
    <w:name w:val="1st Normal"/>
    <w:basedOn w:val="Normal"/>
    <w:link w:val="1stNormalChar"/>
    <w:qFormat/>
    <w:rsid w:val="00B22703"/>
    <w:pPr>
      <w:widowControl w:val="0"/>
      <w:spacing w:after="0" w:line="312" w:lineRule="auto"/>
      <w:ind w:left="284" w:hanging="284"/>
      <w:jc w:val="both"/>
    </w:pPr>
    <w:rPr>
      <w:rFonts w:ascii="Arial" w:hAnsi="Arial" w:cs="Arial"/>
      <w:lang w:val="en-US"/>
    </w:rPr>
  </w:style>
  <w:style w:type="character" w:customStyle="1" w:styleId="1stNormalChar">
    <w:name w:val="1st Normal Char"/>
    <w:link w:val="1stNormal"/>
    <w:locked/>
    <w:rsid w:val="00B22703"/>
    <w:rPr>
      <w:rFonts w:ascii="Arial" w:hAnsi="Arial" w:cs="Arial"/>
      <w:lang w:val="en-US"/>
    </w:rPr>
  </w:style>
  <w:style w:type="paragraph" w:customStyle="1" w:styleId="Bodytext1">
    <w:name w:val="Body text 1"/>
    <w:basedOn w:val="BodyTextIndent"/>
    <w:link w:val="Bodytext1Char"/>
    <w:qFormat/>
    <w:rsid w:val="00B22703"/>
    <w:pPr>
      <w:widowControl w:val="0"/>
      <w:tabs>
        <w:tab w:val="clear" w:pos="540"/>
        <w:tab w:val="clear" w:pos="1080"/>
        <w:tab w:val="left" w:pos="425"/>
      </w:tabs>
      <w:spacing w:line="312" w:lineRule="auto"/>
      <w:ind w:left="425"/>
      <w:jc w:val="both"/>
      <w:outlineLvl w:val="0"/>
    </w:pPr>
    <w:rPr>
      <w:rFonts w:eastAsia="Calibri"/>
      <w:bCs/>
      <w:sz w:val="22"/>
      <w:szCs w:val="22"/>
      <w:lang w:val="en-US"/>
    </w:rPr>
  </w:style>
  <w:style w:type="character" w:customStyle="1" w:styleId="Bodytext1Char">
    <w:name w:val="Body text 1 Char"/>
    <w:basedOn w:val="DefaultParagraphFont"/>
    <w:link w:val="Bodytext1"/>
    <w:rsid w:val="00B22703"/>
    <w:rPr>
      <w:rFonts w:ascii="Arial" w:eastAsia="Calibri" w:hAnsi="Arial" w:cs="Arial"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6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53"/>
  </w:style>
  <w:style w:type="paragraph" w:styleId="Footer">
    <w:name w:val="footer"/>
    <w:basedOn w:val="Normal"/>
    <w:link w:val="FooterChar"/>
    <w:uiPriority w:val="99"/>
    <w:unhideWhenUsed/>
    <w:rsid w:val="00CC2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53"/>
  </w:style>
  <w:style w:type="character" w:styleId="Hyperlink">
    <w:name w:val="Hyperlink"/>
    <w:uiPriority w:val="99"/>
    <w:unhideWhenUsed/>
    <w:rsid w:val="00CC2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58FE-2F9D-4143-832C-413F9FDC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Board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Tognon</dc:creator>
  <cp:lastModifiedBy>Alta Marais</cp:lastModifiedBy>
  <cp:revision>11</cp:revision>
  <cp:lastPrinted>2018-11-07T08:53:00Z</cp:lastPrinted>
  <dcterms:created xsi:type="dcterms:W3CDTF">2018-11-01T11:29:00Z</dcterms:created>
  <dcterms:modified xsi:type="dcterms:W3CDTF">2018-11-07T08:54:00Z</dcterms:modified>
</cp:coreProperties>
</file>